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72" w:rsidRDefault="00DE1AF0" w:rsidP="007074BC">
      <w:pPr>
        <w:spacing w:line="360" w:lineRule="auto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671185" cy="922655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-tiskove-20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0" w:name="_GoBack"/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Plnění státního rozpočtu ČR za leden až listopad 2019</w:t>
      </w:r>
      <w:bookmarkEnd w:id="0"/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 30. listopadu 2019 dosáhly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celkové příjmy </w:t>
      </w:r>
      <w:r w:rsidRPr="001352A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státního rozpočtu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1 351,5 mld. Kč, celkové výdaje 1 390,1 mld. Kč a schodek hospodaření 38,6 mld. Kč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(na konci listopadu roku 2018 byl schodek ve výši 21,6 mld. Kč). 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Bez započítání mimořádných jednorázových příjmů ve výši téměř 21 mld. Kč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které inkasoval v loňském roce státní rozpočet jako závěrečné platby vztahující se k programovému období 2007 až 2013,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byl schodek dokonce meziročně nižší o téměř 4 mld. Kč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. V souvislosti s rozpočtem Evropské unie se v dosavadním průběhu letošního roku projevuje o téměř 10 mld. Kč (o 9,3 %) vyšší objem předfinancovaných projektů na společné programy České republiky a Evropské unie. Tyto výdaje pak mají pozitivní dopad i na meziroční nárůst investic o téměř 16 % (o 16,1 mld. Kč).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Schodek státního rozpočtu po očištění celkového vlivu prostředků z Evropské unie a finančních mechanismů, tj. příjmů i výdajů na tyto projekty,</w:t>
      </w:r>
      <w:r w:rsidRPr="001352A1" w:rsidDel="00F53F9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dosáhl ke konci listopadu výše 35,8 mld. Kč. Ve stejném období roku 2018 představoval takto očištěný výsledek schodek 17,3 mld. Kč, což znamená meziročně horší saldo o 18,5 mld. Kč. Na něj pak mají výrazný podíl investiční výdaje realizované z národních zdrojů s meziročním růstem o 12,0 mld. Kč.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inline distT="0" distB="0" distL="0" distR="0" wp14:anchorId="1F2B2D04" wp14:editId="566AC1CD">
            <wp:extent cx="5972810" cy="2345055"/>
            <wp:effectExtent l="0" t="0" r="889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Nejvýraznější vlivy na straně příjmů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Příjmy státního rozpočtu bez vlivu prostředků z EU a FM a bez započtení prostředků převedených do příjmů z tzv. privatizačního účtu meziročně vzrostly o 72,5 mld. Kč, tj. o 6,3 %.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Mezi dlouhodobě nejdynamičtěji rostoucími daňovými příjmy byla i nadále daň z příjmů fyzických osob ze závislé činnosti (placená plátci), jejíž 12% tempo spolu s téměř 8% růstem příspěvků z pojistného na sociální zabezpečení zvýšily příjmy státního rozpočtu meziročně o 49,3 mld. Kč. V meziročním srovnání rostlo ještě rychleji inkaso daně z příjmů fyzických osob z přiznání (placené poplatníky), a to o 37,9 %. Výrazný meziroční růst inkasa daně z příjmů právnických osob o téměř 6 % odráží příznivé ekonomické výsledky firem a podnikatelů. Inkaso daně z přidané hodnoty, zatížené jednorázovými negativními efekty z počátku tohoto roku (nižší objem zadržovaných nadměrných odpočtů v důsledku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efektivnější kontrolní činnosti finanční správy, jednorázové vyplacení vyšší částky nadměrného odpočtu), v posledních měsících dohánělo zmiňovaný výpadek inkasa z počátku roku. Výše inkasa daně z přidané hodnoty na měsíční bázi byla opět negativně ovlivněna nižším počtem pracovních dní. Naopak v meziročním srovnání došlo k negativnímu vývoji u inkasa daně z tabákových výrobků. Producenti tabákových výrobků se předzásobili tabákovými nálepkami v souvislosti s novým požadavkem na zajištění sledovatelnosti tabákových výrobků. Vliv na výkyvy inkasa této daně v posledních měsících roku má rovněž chování producentů tabákových výrobků před očekávaným zvýšením sazby spotřební daně. 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Nedaňové a kapitálové příjmy a přijaté transfery meziročně vzrostly o 32,9 mld. Kč, z čehož příjmy z prostředků EU a FM zvyšovaly inkaso o 11,3 mld. Kč.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Nejvýraznější vlivy na straně výdajů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Sociální dávky se vyvíjejí v souladu se schváleným rozpočtem, podobně jako výdaje na platy. Na druhou stranu byla v prvních jedenácti měsících roku předfinancována již velká část transferů, z nichž některé přechodně ovlivňují relativně vysoký meziroční růst. Například neinvestiční transfery neziskovým a podobným organizacím byly vyplaceny z více než 99 % rozpočtu, územním samosprávným celkům bylo v běžných výdajích poskytnuto již přes 98 % rozpočtu a příspěvkovým a podobným organizacím bylo vyplaceno přes 95 % neinvestičního rozpočtu. Do rozpočtu Evropské unie bylo letos odvedeno již téměř 96 % plánované částky, tedy meziročně o 7,4 mld. Kč více. U těchto výdajových položek lze v posledním měsíci roku očekávat výrazné zpomalení jejich realizace. Na konci listopadu rostly celkové výdaje již o 0,3 p. b. pomaleji, než předpokládá výše výdajů daná rozpočtem po změnách. 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Realizace investic na úrovni témě</w:t>
      </w:r>
      <w:r w:rsidR="00533436">
        <w:rPr>
          <w:rFonts w:ascii="Times New Roman" w:eastAsia="Times New Roman" w:hAnsi="Times New Roman" w:cs="Times New Roman"/>
          <w:sz w:val="24"/>
          <w:szCs w:val="20"/>
          <w:lang w:eastAsia="cs-CZ"/>
        </w:rPr>
        <w:t>ř 87 % rozpočtu po změnách nasvědčuje tomu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, že se objem těchto výdajů na konci roku bude blížit výši dané rozpočtem po změnách.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</w:pPr>
      <w:r w:rsidRPr="001352A1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inline distT="0" distB="0" distL="0" distR="0" wp14:anchorId="5899BD06" wp14:editId="1CF56A12">
            <wp:extent cx="6301105" cy="2097261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09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bookmarkStart w:id="1" w:name="OLE_LINK1"/>
      <w:r w:rsidRPr="001352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*) Saldo očištěné o prostředky na programy/projekty z rozpočtu EU a FM, které byly předfinancovány ze SR a následně jsou propláceny z rozpočtu EU a FM</w:t>
      </w:r>
    </w:p>
    <w:bookmarkEnd w:id="1"/>
    <w:p w:rsidR="001352A1" w:rsidRPr="001352A1" w:rsidRDefault="001352A1" w:rsidP="001352A1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Příjmy státního rozpočtu – podrobný komentář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Inkaso daňových příjmů včetně pojistného na sociální zabezpečení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dosáhlo 1 178,4 mld. Kč a meziročně vzrostlo o 68,9 mld. Kč, tj. o 6,2 %.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Celkové inkaso DPH</w:t>
      </w:r>
      <w:r w:rsidRPr="00135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Pr="001352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265,8 mld. Kč</w:t>
      </w:r>
      <w:r w:rsidRPr="00135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meziročně vyšší o 9,9 mld. Kč, což znamenalo meziroční růst o 3,9 %. Inkaso za leden až listopad bylo v některých měsících tlumeno jednorázovými vlivy jako nižší objem zadržovaných nadměrných odpočtů oproti stejnému období minulého roku, což je důsledkem efektivnějšího zacílení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kontrolní činnosti finanční správy, jednorázové vyplacení vyšší částky nadměrného odpočtu DPH a mimořádná platba v říjnu 2018. Výše inkasa DPH na měsíční bázi byla opět negativně ovlivněna nižším počtem pracovních dní. Mírně</w:t>
      </w:r>
      <w:r w:rsidRPr="00135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negativní dopad na inkaso má také zavedení nižší sazby DPH na pravidelnou hromadnou dopravu, které je účinné od února 2019. 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letošním roce není inkaso této daně ovlivněno změnou rozpočtového určení daní. Celoroční plánovaný růst inkasa DPH proti skutečnosti roku 2018 ve výši 6,8 % vychází hlavně z očekávání pozitivního dopadu pokračujícího příznivého vývoje ekonomiky a také z opatření zavedených v předchozích letech, vedle elektronické evidence tržeb zejména kontrolního hlášení. V rozpočtu se počítá se spuštěním 3. a 4. etapy elektronické evidence tržeb a se souvisejícím pozitivním efektem na příjmy státního rozpočtu v odhadované výši 0,7 mld. Kč. Současně rozpočet počítá s negativním dopadem přesunu části některých služeb, jako např. úprava a rozvod vody, stravovacích služeb a dalších, do nižší 10% sazby DPH v odhadované výši 1 mld. Kč. U těchto opatření byl však ukončen legislativní proces až nyní a opatření proto budou účinná až od května r. 2020. 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Inkaso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spotřebních daní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(vč. tzv. energetických daní a odvodu z elektřiny ze slunečního záření) dosáhlo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144,4 mld. Kč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což bylo o 0,5 mld. Kč, tj. o 0,3 %, více než na konci listopadu 2018. 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Inkaso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spotřební daně z minerálních olejů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zatím dosáhlo 76,2 mld. Kč při meziročním růstu o 2,1 mld. Kč, tj. o 2,9 %. Rozpočet této daně počítá s nárůstem proti skutečnosti 2018 o 2,4 % zejména z důvodu pokračujícího pozitivního ekonomického vývoje, který je doprovázen rostoucími přepravními výkony i vyšší spotřebou pohonných hmot související s rostoucími příjmy domácností. Celkový růst inkasa však nadále ovlivňuje vratka za tzv. zelenou naftu i pro živočišnou prvovýrobu zavedená v roce 2017 a v následujících letech dále novelizovaná. Vzhledem k poslední legislativní změně, která prodlužuje zdaňovací období z kalendářního měsíce na kalendářní čtvrtletí, případně kalendářní rok, bude část této daně vracena až v roce 2020. V rozpočtu je tato změna zohledněna.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Inkaso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spotřební daně z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tabákových výrobků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dosáhlo 51,3 mld. Kč, což bylo meziročně o 1,6 mld. Kč, tj. o 3,1 % méně. Nicméně proti skutečnosti roku 2018 počítá rozpočet s poklesem inkasa této daně o 4,6 %. Výpadek inkasa z počátku roku, který byl způsoben zavedením nového typu značení tabákových výrobků, kdy se plátci daně předzásobili staršími tabákovými nálepkami v průběhu konce roku 2018, byl již plně vykompenzován. Od července se v měsíčním inkasu začal projevovat další efekt předzásobení se výrobci a dovozci tabákovými nálepkami, tentokrát z důvodu povinnosti zajištění sledovatelnosti tabákových výrobků (Track and </w:t>
      </w:r>
      <w:proofErr w:type="spellStart"/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Trace</w:t>
      </w:r>
      <w:proofErr w:type="spellEnd"/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), neboť na výrobky vyrobené před 20. květnem se tato povinnost ještě nevztahovala. Dalším faktorem, který zapříčiňuje těžko </w:t>
      </w:r>
      <w:proofErr w:type="spellStart"/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predikovatelné</w:t>
      </w:r>
      <w:proofErr w:type="spellEnd"/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výkyvy inkasa, je očekávané zvýšení spotřební daně z tabákových výrobků a s tím související reakce obchodních strategií jednotlivých producentů. V roce 2019 nebyly navyšovány sazby této daně; s účinností od 1. dubna 2019 je však nově zavedena spotřební daň na zahřívané tabákové výrobky. 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Inkaso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daně z příjmů fyzických osob placené plátci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(dříve ze závislé činnosti) při meziročním růstu o 13,7 mld. Kč, tj. o 12,0 %, zatím dosáhlo 127,8 mld. Kč. Plánovaný meziroční růst inkasa proti skutečnosti 2018 je odrazem jak pokračujícího vysokého růstu platů a mezd ve veřejném i v soukromém sektoru, zvýšením minimální a zaručených mezd, tak i vysoké úrovně zaměstnanosti. Pozitivně se na inkasu projevuje i zavedení elektronické evidence tržeb. 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Inkaso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daně z příjmů fyzických osob placené poplatníky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(dříve z přiznání) dosáhlo 5,2 mld. Kč, což představovalo meziroční růst o 1,4 mld. Kč, tj. o 37,9 %. Na plánovaný růst inkasa této daně proti skutečnosti roku 2018 má pozitivní vliv ekonomický růst a již i celoroční dopad zavedení první a druhé fáze elektronické evidence tržeb. Naopak negativní vliv na celoroční inkaso očekává ministerstvo financí z důvodu snížení limitu pro výdajové paušály a současného navrácení možnosti uplatnění vybraných slev na dani u poplatníků uplatňujících paušální výdaje. Negativně ovlivní inkaso v roce 2019 nově také zvýšení daňového zvýhodnění na první děti ve výši 0,4 mld. Kč.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Inkaso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daně z příjmů fyzických osob vybírané srážkou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dosáhlo 12,6 mld. Kč, což bylo o 1,3 mld. Kč, tj. o 11,4 %, více než na konci listopadu 2018. V letošním roce nemají na inkaso této daně vliv žádné výraznější legislativní úpravy.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Inkaso daní z příjmů právnických osob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dosáhlo za 11 měsíců roku 99,0 mld. Kč, tj. 79,5 % rozpočtu. Inkaso této daně meziročně vzrostlo o 5,5 mld. Kč, tj. o 5,9 %, což odpovídá i růstu plánovaného ve schváleném rozpočtu. Inkaso je meziročně pozitivně ovlivněno ekonomickým růstem a dopadem zavedení elektronické evidence. 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inkasa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daně z nabytí nemovitých věcí,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které zatím při meziročním růstu o 1,1 % dosáhlo 12,7 mld. Kč, počítá rozpočet s poklesem proti inkasu roku 2018 o 9,8 %. Inkaso mělo být meziročně ovlivněno předpokládanou pozvolnou stagnací realitního trhu.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U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příjmů z pojistného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na sociální zabezpečení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, které zatím při meziročním růstu o 35,6 mld. Kč, tj. o 7,6 %, dosáhly 500,4 mld. Kč, počítá rozpočet s růstem o 8,4 % proti skutečnosti 2018 (v prosinci lze tradičně očekávat vyšší než alikvotní inkaso). Rozpočet vychází z dynamiky meziročního růstu objemu mezd a platů pro rok 2019 o 8,3 %, ve kterém se promítl jak růst zaměstnanosti, tak i výrazný růst pracovních příjmů.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nedaňových a kapitálových příjmech a přijatých transferech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 výši 173,1 mld. Kč (meziroční růst o 32,9 mld. Kč) se nejvíce podílely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příjmy z rozpočtu EU a FM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. Ty dosáhly 112,4 mld. Kč a byly tak proti stejnému období roku 2018 vyšší o 11,3 mld. Kč i přes to, že v 11 měsících roku 2018 získal státní rozpočet 20,8 mld. Kč, které představovaly část závěrečných plateb vztahujících se k programovému období 2007–2013. Bez těchto prostředků by příjmy z EU dosáhly výrazného růstu, který odpovídá vyšší schopnosti realizace společných programů EU a ČR, se kterou souvisí i následná refundace prostředků z rozpočtu EU. Růstově působí i březnový převod 18 mld. Kč z tzv. privatizačního účtu do příjmů kapitoly VPS, který byl v roce 2018 nulový.</w:t>
      </w:r>
    </w:p>
    <w:p w:rsidR="001352A1" w:rsidRPr="001352A1" w:rsidRDefault="001352A1" w:rsidP="001352A1">
      <w:pPr>
        <w:tabs>
          <w:tab w:val="left" w:pos="56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Výdaje státního rozpočtu – podrobný komentář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Celkové výdaje v objemu 1 390,1 mld. Kč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byly o 118,8 mld. Kč, tj. o 9,3 %, nad úrovní stejného období minulého roku. Oproti skutečnému čerpání v roce 2018 rozpočet předpokládá jejich růst o 9,6 %. Meziroční růst ovlivnily zejména sociální dávky vyšší o 41,5 mld. Kč (zejména vliv vyšších výdajů na důchody), neinvestiční transfery veřejným rozpočtům územní úrovně vyšší o 25,3 mld. Kč (zejména vliv vyšších výdajů na platy v regionálním školství), neinvestiční transfery státním fondům vyšší o 8,8 mld. Kč, výdaje na platy na úrovni organizačních složek státu vyšší o 8,3 mld. Kč a odvody vlastních zdrojů do rozpočtu EU vyšší o 7,4 mld. Kč (vliv žádosti Evropské komise z průběhu 1. čtvrtletí o zaslání vyšší než alikvotní části rozpočtovaného objemu). Meziročně o 16,1 mld. Kč vzrostly i kapitálové výdaje. Výdaje na financování společných programů EU/FM a ČR (vč. SZP) zatím dosáhly 128,0 mld. Kč, což bylo o 10,8 mld. Kč (o 9,3 %) více než na konci listopadu 2018.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Největší objem prostředků v rámci běžných výdajů je každoročně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vynakládán na sociální dávky.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 schváleném rozpočtu byly zapracovány ve výši 601,9 mld. Kč, což je o 8,1 % více než skutečnost dosažená v roce 2018 (z toho plánovaný meziroční růst důchodů činí 8,9 %).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K 30.11.2019 bylo na sociální dávky vyplaceno 550,8 mld. Kč,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což představovalo meziroční růst o 41,5 mld. Kč, tj. o 8,2 %. Na tom se podílely zejména výdaje na důchody s růstem o 34,7 mld. Kč, tj. o 8,8 %. Výdaje na důchody v roce 2019 rostou i díky zvýšení základní výměry důchodu z 9 % na 10 % průměrné mzdy a také procentní výměry důchodů o 1000 Kč u příjemců důchodů starších 85 let. Na růstu sociálních dávek se podílí i dávky nemocenského pojištění meziročně vyšší o 4,5 mld. Kč či příspěvek na péči vyšší o 3,3 mld. Kč.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Neinvestiční transfery veřejným rozpočtům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územní úrovně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dosáhly 181,1 mld. Kč a meziročně vzrostly o 25,3 mld. Kč. Na jejich výši i růstu se podílely především převody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prostředků na přímé náklady škol zřizovaných obcemi a kraji</w:t>
      </w:r>
      <w:r w:rsidRPr="001352A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ve výši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134,2 mld. Kč. Šlo o zálohy regionálnímu školství na celý rok ve výši 127,4 mld. Kč (v listopadu 2018 to bylo 109,8 mld. Kč) a o zálohy soukromému školství ve výši 6,8 mld. Kč (v listopadu 2018 to bylo 5,9 mld. Kč). Mimo to byla již v průběhu ledna převedena z Ministerstva školství, mládeže a tělovýchovy 1,1 mld. Kč, která směřovala na rozvojový program „Částečné vyrovnání mezikrajových rozdílů v odměňování pedagogických pracovníků mateřských, základních a středních škol, konzervatoří a školních družin v roce 2019“. S platností od 1.1.2019 se v meziročním nárůstu promítá navýšení objemu prostředků na platy v regionálním školství, a to o 15 % u pedagogických pracovníků a o 10 % u nepedagogických pracovníků. 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Transfery podle zákona o sociálních službách, které jsou z velké části převáděny do rozpočtů územních samosprávných celků, zatím dosáhly 16,8 mld. Kč, což představovalo meziroční růst o téměř 2 mld. Kč.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Pojistné na veřejné zdravotní pojištění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(platba státu za tzv. státní pojištěnce) ve výši 65,9 mld. Kč znamenalo meziroční růst o 3,2 mld. Kč, tj. o 5,1 %. Předpokládaný růst těchto výdajů proti skutečnosti roku 2018 o 7,3 % vychází zejména ze zvýšení měsíčních plateb za státního pojištěnce od 1.1.2019.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Kapitálové výdaje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zatím dosáhly 118,3 mld. Kč, což bylo o 16,1 mld. Kč, tj. o 15,8 %, více než ve stejném období minulého roku. Velkou část (62,9 mld. Kč) tvořily investice realizované prostřednictvím společných programů EU a ČR s meziročním růstem o 4,0 mld. Kč, tj. o 6,8 %. Investice realizované výhradně z národních prostředků vzrostly ještě výrazněji, a to o 11,9 mld. Kč, tj. o 27,3 %. Na objemu i růstu investic se nejvíce podílely prostředky převedené Státnímu fondu dopravní infrastruktury a určené zejména na financování výstavby, modernizace a oprav silnic a dálnic a železničních drah.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Schválený rozpočet je nad úrovní skutečného čerpání kapitálových výdajů roku 2018 o 5,8 mld. Kč, tj. o 5,0 %. Je tvořen prostředky ve výši 75,8 mld. Kč, které mají financovat národní investice a prostředky ve výši 46,5 mld. Kč, které mají financovat společné programy EU a ČR (vč. SZP a FM). Navíc nad rámec rozpočtu mohou organizační složky státu realizovat investiční výdaje i prostřednictvím tzv. nároků z nespotřebovaných výdajů z minulých let, jejichž stav na začátku roku 2019 byl 70,5 mld. Kč (na konci listopadu bylo z této částky realizováno 31,4 mld. Kč).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Saldo státního rozpočtu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Hospodaření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státního rozpočtu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skončilo na konci listopadu 2019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schodkem ve výši 38,6 </w:t>
      </w:r>
      <w:r w:rsidRPr="001352A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mld. Kč</w:t>
      </w:r>
      <w:r w:rsidRPr="001352A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</w:t>
      </w:r>
      <w:r w:rsidRPr="001352A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1352A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což 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>proti stejnému období roku 2018 znamenalo horší výsledek o 17,0 mld. Kč. Při očištění hospodaření státního rozpočtu o toky EU a FM prostředků jak na příjmové tak výdajové straně to představuje výsledek meziročně horší o 18,5 mld. Kč.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Hospodaření rozpočtu </w:t>
      </w: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 samotném listopadu</w:t>
      </w: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skončilo schodkem 19,1 mld. Kč (v listopadu 2018 schodkem ve výši 27,3 mld. Kč), když příjmy dosáhly 130,4 mld. Kč (v listopadu 2018 to bylo 116,9 mld. Kč) a výdaje byly čerpány ve výši 149,5 mld. Kč (v listopadu 2018 to bylo 144,2 mld. Kč). Na meziroční růst příjmů v samotném listopadu o 13,6 mld. Kč měly největší vliv příjmy z EU vyšší o 9,9 mld. Kč. Na růstu výdajů v samotném listopadu o 5,3 mld. Kč se nejvíce podílely sociální dávky vyšší o 3,7 mld. Kč a záloha na platy v regionálním školství vyšší o 2,6 mld. Kč.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inline distT="0" distB="0" distL="0" distR="0" wp14:anchorId="0DF2F4AE" wp14:editId="3CA17D45">
            <wp:extent cx="6301105" cy="36365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6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lastRenderedPageBreak/>
        <w:drawing>
          <wp:inline distT="0" distB="0" distL="0" distR="0" wp14:anchorId="1A4F938A" wp14:editId="79DBD5F1">
            <wp:extent cx="5972810" cy="2620645"/>
            <wp:effectExtent l="0" t="0" r="8890" b="825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Podrobnější výsledky hospodaření státního rozpočtu za leden až listopad 2019 jsou patrny z tabulkové přílohy. </w:t>
      </w:r>
    </w:p>
    <w:p w:rsidR="00531708" w:rsidRPr="00531708" w:rsidRDefault="00531708" w:rsidP="00531708">
      <w:pPr>
        <w:pStyle w:val="xl27"/>
        <w:pBdr>
          <w:left w:val="none" w:sz="0" w:space="0" w:color="auto"/>
          <w:right w:val="none" w:sz="0" w:space="0" w:color="auto"/>
        </w:pBdr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5C23CE" w:rsidRPr="00531708" w:rsidRDefault="005C23CE" w:rsidP="00531708">
      <w:pPr>
        <w:pStyle w:val="xl27"/>
        <w:pBdr>
          <w:left w:val="none" w:sz="0" w:space="0" w:color="auto"/>
          <w:right w:val="none" w:sz="0" w:space="0" w:color="auto"/>
        </w:pBdr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5C23CE" w:rsidRPr="00531708" w:rsidRDefault="005C23CE" w:rsidP="00531708">
      <w:pPr>
        <w:spacing w:after="0"/>
        <w:jc w:val="both"/>
      </w:pPr>
      <w:r w:rsidRPr="00531708">
        <w:t>Ing. Michal Žurovec</w:t>
      </w:r>
    </w:p>
    <w:p w:rsidR="005C23CE" w:rsidRPr="00531708" w:rsidRDefault="005C23CE" w:rsidP="00531708">
      <w:pPr>
        <w:spacing w:after="0"/>
        <w:jc w:val="both"/>
      </w:pPr>
      <w:r w:rsidRPr="00531708">
        <w:t xml:space="preserve">ředitel odboru Vnější vztahy a komunikace </w:t>
      </w:r>
    </w:p>
    <w:p w:rsidR="005C23CE" w:rsidRPr="00531708" w:rsidRDefault="005C23CE" w:rsidP="00531708">
      <w:pPr>
        <w:spacing w:after="0"/>
        <w:jc w:val="both"/>
      </w:pPr>
      <w:r w:rsidRPr="00531708">
        <w:t>1. listopadu 2019</w:t>
      </w:r>
    </w:p>
    <w:p w:rsidR="001352A1" w:rsidRDefault="001352A1" w:rsidP="00531708">
      <w:pPr>
        <w:jc w:val="both"/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Tabulková příloha: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Tabulka č. 1: Plnění příjmů státního rozpočtu (v mld. Kč)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inline distT="0" distB="0" distL="0" distR="0" wp14:anchorId="70D91C4D" wp14:editId="541FA251">
            <wp:extent cx="6301105" cy="4999338"/>
            <wp:effectExtent l="0" t="0" r="444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99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352A1" w:rsidRPr="001352A1" w:rsidRDefault="001352A1" w:rsidP="001352A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Tabulka č. 2: Meziroční srovnání celostátních daňových příjmů (v mld. Kč)</w:t>
      </w:r>
    </w:p>
    <w:p w:rsidR="001352A1" w:rsidRPr="001352A1" w:rsidRDefault="001352A1" w:rsidP="001352A1">
      <w:pPr>
        <w:keepNext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inline distT="0" distB="0" distL="0" distR="0" wp14:anchorId="5CA2F04A" wp14:editId="71E9322D">
            <wp:extent cx="6301105" cy="2495934"/>
            <wp:effectExtent l="0" t="0" r="444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4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A1" w:rsidRPr="001352A1" w:rsidRDefault="001352A1" w:rsidP="001352A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</w:pPr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*) v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celost.daních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v roce 2017 není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zahrn.DPPO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za obce a kraje (rozpočet 6,9 mld. Kč) a dále správní a místní poplatky obcím (7,9 mld. Kč), popl.za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znečišť.ŽP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(2,8 mld Kč) a daň z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hazard.her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také obcím (4,9 mld. Kč)-ve skut. je lze sledovat pouze v účetnictví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</w:pPr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**) v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celost.daních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v roce 2018 není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zahrn.DPPO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za obce a kraje (rozpočet 6,7 mld. Kč) a dále správní a místní poplatky obcím (8,1 mld. Kč), popl.za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znečišť.ŽP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obcím (2,8 mld Kč) a daň z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hazard.her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obcím (5,4 mld. Kč)-ve skut. je lze sledovat pouze v účetnictví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</w:pPr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***) v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celost.daních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v roce 2019 není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zahrn.DPPO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za obce a kraje (rozpočet 6,7 mld. Kč) a dále správní a místní poplatky obcím (8,9 mld. Kč), popl.za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znečišť.ŽP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obcím a krajům (3,2 mld Kč) a daň z </w:t>
      </w:r>
      <w:proofErr w:type="spellStart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hazard.her</w:t>
      </w:r>
      <w:proofErr w:type="spellEnd"/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 xml:space="preserve"> obcím (5,0 mld. Kč)-ve skut. je lze sledovat pouze v účetnictví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</w:pPr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t>****) údaj skutečnosti za uvedené roky odpovídá stavu inkasa za minulý měsíc (od roku 2012 nemá MF možnost sledovat každodenní pohyb inkasa z dálničních poplatků)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</w:pPr>
      <w:r w:rsidRPr="001352A1">
        <w:rPr>
          <w:rFonts w:ascii="Times New Roman" w:eastAsia="Times New Roman" w:hAnsi="Times New Roman" w:cs="Times New Roman"/>
          <w:i/>
          <w:sz w:val="14"/>
          <w:szCs w:val="14"/>
          <w:lang w:eastAsia="cs-CZ"/>
        </w:rPr>
        <w:lastRenderedPageBreak/>
        <w:t>*****) v souvislosti se zavedením nového způsobu přerozdělování dle PCG se jedná pouze o vybrané pojistné za období od 1.1.2019 do 31.10.2019. V roce 2018 se jedná o výběr od 1.1.2018 do 31.10.2018. V roce 2017 je údaj výběrem za období od 18.12.2016 do 17.10.2017. Nezahrnuje platbu za tzv. státní pojištěnce a nejedná se o příjem SR.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Tabulka č. 3: Čerpání výdajů státního rozpočtu (v mld. Kč)</w:t>
      </w:r>
    </w:p>
    <w:p w:rsidR="001352A1" w:rsidRPr="001352A1" w:rsidRDefault="001352A1" w:rsidP="00135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52A1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inline distT="0" distB="0" distL="0" distR="0" wp14:anchorId="1A36ECC0" wp14:editId="482533BA">
            <wp:extent cx="6105525" cy="4709976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4" cy="47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A1" w:rsidRPr="00531708" w:rsidRDefault="001352A1" w:rsidP="00531708">
      <w:pPr>
        <w:jc w:val="both"/>
      </w:pPr>
    </w:p>
    <w:p w:rsidR="004E4E72" w:rsidRDefault="004E4E72" w:rsidP="006712A0">
      <w:pPr>
        <w:spacing w:line="240" w:lineRule="auto"/>
      </w:pPr>
    </w:p>
    <w:sectPr w:rsidR="004E4E72" w:rsidSect="007074BC"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97F" w:rsidRDefault="00D8397F" w:rsidP="00531708">
      <w:pPr>
        <w:spacing w:after="0" w:line="240" w:lineRule="auto"/>
      </w:pPr>
      <w:r>
        <w:separator/>
      </w:r>
    </w:p>
  </w:endnote>
  <w:endnote w:type="continuationSeparator" w:id="0">
    <w:p w:rsidR="00D8397F" w:rsidRDefault="00D8397F" w:rsidP="0053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97F" w:rsidRDefault="00D8397F" w:rsidP="00531708">
      <w:pPr>
        <w:spacing w:after="0" w:line="240" w:lineRule="auto"/>
      </w:pPr>
      <w:r>
        <w:separator/>
      </w:r>
    </w:p>
  </w:footnote>
  <w:footnote w:type="continuationSeparator" w:id="0">
    <w:p w:rsidR="00D8397F" w:rsidRDefault="00D8397F" w:rsidP="00531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F3"/>
    <w:rsid w:val="00091D7F"/>
    <w:rsid w:val="00111E7F"/>
    <w:rsid w:val="001352A1"/>
    <w:rsid w:val="00252CC6"/>
    <w:rsid w:val="002B3762"/>
    <w:rsid w:val="0047315F"/>
    <w:rsid w:val="004E4E72"/>
    <w:rsid w:val="004E50FB"/>
    <w:rsid w:val="005023A6"/>
    <w:rsid w:val="00531708"/>
    <w:rsid w:val="00533436"/>
    <w:rsid w:val="00545066"/>
    <w:rsid w:val="00551116"/>
    <w:rsid w:val="00555A1E"/>
    <w:rsid w:val="0055759D"/>
    <w:rsid w:val="0059708A"/>
    <w:rsid w:val="00597B35"/>
    <w:rsid w:val="005C1A25"/>
    <w:rsid w:val="005C23CE"/>
    <w:rsid w:val="00631630"/>
    <w:rsid w:val="00641D37"/>
    <w:rsid w:val="006712A0"/>
    <w:rsid w:val="00674535"/>
    <w:rsid w:val="006F47FB"/>
    <w:rsid w:val="007074BC"/>
    <w:rsid w:val="007B3CB0"/>
    <w:rsid w:val="008459CA"/>
    <w:rsid w:val="008547F7"/>
    <w:rsid w:val="008B7A7E"/>
    <w:rsid w:val="008E4553"/>
    <w:rsid w:val="009E14BD"/>
    <w:rsid w:val="00A33EDB"/>
    <w:rsid w:val="00A93165"/>
    <w:rsid w:val="00B8330B"/>
    <w:rsid w:val="00B91DF3"/>
    <w:rsid w:val="00C666D4"/>
    <w:rsid w:val="00C956C1"/>
    <w:rsid w:val="00CA7074"/>
    <w:rsid w:val="00CC41E4"/>
    <w:rsid w:val="00CF57F8"/>
    <w:rsid w:val="00D80AB2"/>
    <w:rsid w:val="00D83531"/>
    <w:rsid w:val="00D8397F"/>
    <w:rsid w:val="00DE1AF0"/>
    <w:rsid w:val="00E334BB"/>
    <w:rsid w:val="00EA625B"/>
    <w:rsid w:val="00EB0A69"/>
    <w:rsid w:val="00EF0A21"/>
    <w:rsid w:val="00F4357F"/>
    <w:rsid w:val="00F53C30"/>
    <w:rsid w:val="00F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77350-2279-454E-B4AC-C39DBDA5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1E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712A0"/>
    <w:pPr>
      <w:overflowPunct w:val="0"/>
      <w:autoSpaceDE w:val="0"/>
      <w:autoSpaceDN w:val="0"/>
      <w:adjustRightInd w:val="0"/>
      <w:spacing w:before="120"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xl27">
    <w:name w:val="xl27"/>
    <w:basedOn w:val="Normln"/>
    <w:rsid w:val="006712A0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amen">
    <w:name w:val="pramen"/>
    <w:basedOn w:val="Normln"/>
    <w:qFormat/>
    <w:rsid w:val="006712A0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3170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17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31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2444\Documents\Pokladni%20plneni\Pokl%20pln&#283;n&#237;%202019\11%20listopad%202019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2444\Documents\Pokladni%20plneni\Pokl%20pln&#283;n&#237;%202019\11%20listopad%202019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cs-CZ" sz="900"/>
              <a:t>Saldo státního rozpočtu na konci listopadu v letech 2013-2019  (v mld. Kč)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6226562839866011E-2"/>
          <c:y val="0.15476851851851853"/>
          <c:w val="0.92351561027247286"/>
          <c:h val="0.64611548556430443"/>
        </c:manualLayout>
      </c:layout>
      <c:lineChart>
        <c:grouping val="standard"/>
        <c:varyColors val="0"/>
        <c:ser>
          <c:idx val="0"/>
          <c:order val="0"/>
          <c:tx>
            <c:strRef>
              <c:f>'saldo graf'!$B$9</c:f>
              <c:strCache>
                <c:ptCount val="1"/>
                <c:pt idx="0">
                  <c:v>Saldo SR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5.5284517690381701E-2"/>
                  <c:y val="4.1175547019252148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87-427A-86D8-A38E32EFD6A6}"/>
                </c:ext>
              </c:extLst>
            </c:dLbl>
            <c:dLbl>
              <c:idx val="1"/>
              <c:layout>
                <c:manualLayout>
                  <c:x val="-3.0221853357789975E-2"/>
                  <c:y val="5.2714831025950155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87-427A-86D8-A38E32EFD6A6}"/>
                </c:ext>
              </c:extLst>
            </c:dLbl>
            <c:dLbl>
              <c:idx val="2"/>
              <c:layout>
                <c:manualLayout>
                  <c:x val="-4.3632648221895207E-2"/>
                  <c:y val="-5.722682072744556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87-427A-86D8-A38E32EFD6A6}"/>
                </c:ext>
              </c:extLst>
            </c:dLbl>
            <c:dLbl>
              <c:idx val="3"/>
              <c:layout>
                <c:manualLayout>
                  <c:x val="-3.002450660518264E-2"/>
                  <c:y val="-5.5555555555555552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87-427A-86D8-A38E32EFD6A6}"/>
                </c:ext>
              </c:extLst>
            </c:dLbl>
            <c:dLbl>
              <c:idx val="4"/>
              <c:layout>
                <c:manualLayout>
                  <c:x val="-2.1309870796537175E-2"/>
                  <c:y val="-6.9444444444444448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87-427A-86D8-A38E32EFD6A6}"/>
                </c:ext>
              </c:extLst>
            </c:dLbl>
            <c:dLbl>
              <c:idx val="5"/>
              <c:layout>
                <c:manualLayout>
                  <c:x val="-3.3962185196292446E-2"/>
                  <c:y val="4.8203196543294427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87-427A-86D8-A38E32EFD6A6}"/>
                </c:ext>
              </c:extLst>
            </c:dLbl>
            <c:dLbl>
              <c:idx val="6"/>
              <c:layout>
                <c:manualLayout>
                  <c:x val="-1.6643103516414348E-2"/>
                  <c:y val="5.3566928217510829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287-427A-86D8-A38E32EFD6A6}"/>
                </c:ext>
              </c:extLst>
            </c:dLbl>
            <c:numFmt formatCode="#,##0.0" sourceLinked="0"/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'saldo graf'!$D$2:$J$2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'saldo graf'!$D$13:$J$13</c:f>
              <c:numCache>
                <c:formatCode>#,##0.0</c:formatCode>
                <c:ptCount val="7"/>
                <c:pt idx="0">
                  <c:v>-79.368196044871098</c:v>
                </c:pt>
                <c:pt idx="1">
                  <c:v>-68.847259966359985</c:v>
                </c:pt>
                <c:pt idx="2">
                  <c:v>-29.504119261099852</c:v>
                </c:pt>
                <c:pt idx="3">
                  <c:v>55.451415565729</c:v>
                </c:pt>
                <c:pt idx="4">
                  <c:v>-11.618106158870361</c:v>
                </c:pt>
                <c:pt idx="5">
                  <c:v>-21.638604532849509</c:v>
                </c:pt>
                <c:pt idx="6">
                  <c:v>-38.625331989190954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287-427A-86D8-A38E32EFD6A6}"/>
            </c:ext>
          </c:extLst>
        </c:ser>
        <c:ser>
          <c:idx val="1"/>
          <c:order val="1"/>
          <c:tx>
            <c:strRef>
              <c:f>'saldo graf'!$B$21</c:f>
              <c:strCache>
                <c:ptCount val="1"/>
                <c:pt idx="0">
                  <c:v>Saldo SR bez vlivu EU/FM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3132100737186418E-2"/>
                  <c:y val="-3.6381868777898001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87-427A-86D8-A38E32EFD6A6}"/>
                </c:ext>
              </c:extLst>
            </c:dLbl>
            <c:dLbl>
              <c:idx val="1"/>
              <c:layout>
                <c:manualLayout>
                  <c:x val="-3.4899674298905725E-2"/>
                  <c:y val="-6.3909907977007394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87-427A-86D8-A38E32EFD6A6}"/>
                </c:ext>
              </c:extLst>
            </c:dLbl>
            <c:dLbl>
              <c:idx val="2"/>
              <c:layout>
                <c:manualLayout>
                  <c:x val="-3.2801517613664101E-2"/>
                  <c:y val="6.1403483844291951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287-427A-86D8-A38E32EFD6A6}"/>
                </c:ext>
              </c:extLst>
            </c:dLbl>
            <c:dLbl>
              <c:idx val="3"/>
              <c:layout>
                <c:manualLayout>
                  <c:x val="-2.2041939852694981E-2"/>
                  <c:y val="5.7142857142857141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287-427A-86D8-A38E32EFD6A6}"/>
                </c:ext>
              </c:extLst>
            </c:dLbl>
            <c:dLbl>
              <c:idx val="4"/>
              <c:layout>
                <c:manualLayout>
                  <c:x val="-3.1226081457984649E-2"/>
                  <c:y val="5.7142857142857141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287-427A-86D8-A38E32EFD6A6}"/>
                </c:ext>
              </c:extLst>
            </c:dLbl>
            <c:dLbl>
              <c:idx val="5"/>
              <c:layout>
                <c:manualLayout>
                  <c:x val="-2.9519957038142596E-2"/>
                  <c:y val="-5.1127713250302111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287-427A-86D8-A38E32EFD6A6}"/>
                </c:ext>
              </c:extLst>
            </c:dLbl>
            <c:dLbl>
              <c:idx val="6"/>
              <c:layout>
                <c:manualLayout>
                  <c:x val="-2.0240462405068292E-2"/>
                  <c:y val="-5.0260227804337053E-2"/>
                </c:manualLayout>
              </c:layout>
              <c:numFmt formatCode="#,##0.0" sourceLinked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287-427A-86D8-A38E32EFD6A6}"/>
                </c:ext>
              </c:extLst>
            </c:dLbl>
            <c:numFmt formatCode="#,##0.0" sourceLinked="0"/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'saldo graf'!$D$2:$J$2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'saldo graf'!$D$25:$J$25</c:f>
              <c:numCache>
                <c:formatCode>#,##0.0</c:formatCode>
                <c:ptCount val="7"/>
                <c:pt idx="0">
                  <c:v>-75.479814985871073</c:v>
                </c:pt>
                <c:pt idx="1">
                  <c:v>-53.445996089360023</c:v>
                </c:pt>
                <c:pt idx="2">
                  <c:v>-31.247580356099832</c:v>
                </c:pt>
                <c:pt idx="3">
                  <c:v>-14.68349258527104</c:v>
                </c:pt>
                <c:pt idx="4">
                  <c:v>-12.954145556870358</c:v>
                </c:pt>
                <c:pt idx="5">
                  <c:v>-17.340493416849512</c:v>
                </c:pt>
                <c:pt idx="6">
                  <c:v>-35.838524150830949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B287-427A-86D8-A38E32EFD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214720"/>
        <c:axId val="186876672"/>
      </c:lineChart>
      <c:catAx>
        <c:axId val="15121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crossAx val="186876672"/>
        <c:crosses val="autoZero"/>
        <c:auto val="1"/>
        <c:lblAlgn val="ctr"/>
        <c:lblOffset val="100"/>
        <c:noMultiLvlLbl val="0"/>
      </c:catAx>
      <c:valAx>
        <c:axId val="186876672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alpha val="43000"/>
                </a:schemeClr>
              </a:solidFill>
            </a:ln>
          </c:spPr>
        </c:majorGridlines>
        <c:numFmt formatCode="#,##0.0" sourceLinked="1"/>
        <c:majorTickMark val="none"/>
        <c:minorTickMark val="none"/>
        <c:tickLblPos val="nextTo"/>
        <c:spPr>
          <a:ln w="9525">
            <a:noFill/>
          </a:ln>
        </c:spPr>
        <c:crossAx val="151214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668227471566056"/>
          <c:y val="0.89776419394944051"/>
          <c:w val="0.45184349956255471"/>
          <c:h val="7.667530045586401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Vývoj salda státního rozpočtu za leden až listopad v roce 2018 a 2019 (v mld. Kč)</a:t>
            </a:r>
          </a:p>
        </c:rich>
      </c:tx>
      <c:layout>
        <c:manualLayout>
          <c:xMode val="edge"/>
          <c:yMode val="edge"/>
          <c:x val="0.17690141707782442"/>
          <c:y val="5.321298933378008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580502215657306E-2"/>
          <c:y val="0.18674698795180722"/>
          <c:w val="0.88626292466765144"/>
          <c:h val="0.608433734939759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'tab. salda SR'!$B$17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1163504704565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11-4536-BEF0-9FCB644869E8}"/>
                </c:ext>
              </c:extLst>
            </c:dLbl>
            <c:dLbl>
              <c:idx val="4"/>
              <c:layout>
                <c:manualLayout>
                  <c:x val="-1.0990198219938492E-2"/>
                  <c:y val="-3.54582007036354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11-4536-BEF0-9FCB644869E8}"/>
                </c:ext>
              </c:extLst>
            </c:dLbl>
            <c:dLbl>
              <c:idx val="5"/>
              <c:layout>
                <c:manualLayout>
                  <c:x val="-5.706134094151212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11-4536-BEF0-9FCB644869E8}"/>
                </c:ext>
              </c:extLst>
            </c:dLbl>
            <c:dLbl>
              <c:idx val="6"/>
              <c:layout>
                <c:manualLayout>
                  <c:x val="-7.045354469396741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1-4536-BEF0-9FCB644869E8}"/>
                </c:ext>
              </c:extLst>
            </c:dLbl>
            <c:dLbl>
              <c:idx val="7"/>
              <c:layout>
                <c:manualLayout>
                  <c:x val="0"/>
                  <c:y val="4.01638048256016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11-4536-BEF0-9FCB644869E8}"/>
                </c:ext>
              </c:extLst>
            </c:dLbl>
            <c:dLbl>
              <c:idx val="9"/>
              <c:layout>
                <c:manualLayout>
                  <c:x val="-3.1225604996096799E-3"/>
                  <c:y val="-4.01606425702803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11-4536-BEF0-9FCB644869E8}"/>
                </c:ext>
              </c:extLst>
            </c:dLbl>
            <c:dLbl>
              <c:idx val="10"/>
              <c:layout>
                <c:manualLayout>
                  <c:x val="-1.1068213906167213E-2"/>
                  <c:y val="3.54693695202993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11-4536-BEF0-9FCB644869E8}"/>
                </c:ext>
              </c:extLst>
            </c:dLbl>
            <c:numFmt formatCode="#,##0.0" sourceLinked="0"/>
            <c:spPr>
              <a:solidFill>
                <a:schemeClr val="bg1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'tab. salda SR'!$A$18:$A$28</c:f>
              <c:strCache>
                <c:ptCount val="11"/>
                <c:pt idx="0">
                  <c:v>leden</c:v>
                </c:pt>
                <c:pt idx="1">
                  <c:v>leden-únor</c:v>
                </c:pt>
                <c:pt idx="2">
                  <c:v>leden-březen</c:v>
                </c:pt>
                <c:pt idx="3">
                  <c:v>leden-duben</c:v>
                </c:pt>
                <c:pt idx="4">
                  <c:v>leden-květen</c:v>
                </c:pt>
                <c:pt idx="5">
                  <c:v>leden-červen</c:v>
                </c:pt>
                <c:pt idx="6">
                  <c:v>leden-červenec</c:v>
                </c:pt>
                <c:pt idx="7">
                  <c:v>leden-srpen</c:v>
                </c:pt>
                <c:pt idx="8">
                  <c:v>leden-září</c:v>
                </c:pt>
                <c:pt idx="9">
                  <c:v>leden-říjen</c:v>
                </c:pt>
                <c:pt idx="10">
                  <c:v>leden-listopad</c:v>
                </c:pt>
              </c:strCache>
            </c:strRef>
          </c:cat>
          <c:val>
            <c:numRef>
              <c:f>'tab. salda SR'!$B$18:$B$28</c:f>
              <c:numCache>
                <c:formatCode>0.00</c:formatCode>
                <c:ptCount val="11"/>
                <c:pt idx="0">
                  <c:v>26.453480388990016</c:v>
                </c:pt>
                <c:pt idx="1">
                  <c:v>25.750030625240186</c:v>
                </c:pt>
                <c:pt idx="2">
                  <c:v>16.25932449730999</c:v>
                </c:pt>
                <c:pt idx="3">
                  <c:v>0.77475632557991503</c:v>
                </c:pt>
                <c:pt idx="4">
                  <c:v>-23.09443913284008</c:v>
                </c:pt>
                <c:pt idx="5">
                  <c:v>-5.8789542447509575</c:v>
                </c:pt>
                <c:pt idx="6">
                  <c:v>16.584209760340059</c:v>
                </c:pt>
                <c:pt idx="7">
                  <c:v>14.772652513179992</c:v>
                </c:pt>
                <c:pt idx="8">
                  <c:v>16.774581262579886</c:v>
                </c:pt>
                <c:pt idx="9">
                  <c:v>5.6708643410397599</c:v>
                </c:pt>
                <c:pt idx="10">
                  <c:v>-21.638604532849513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11-4536-BEF0-9FCB644869E8}"/>
            </c:ext>
          </c:extLst>
        </c:ser>
        <c:ser>
          <c:idx val="1"/>
          <c:order val="1"/>
          <c:tx>
            <c:strRef>
              <c:f>'tab. salda SR'!$C$17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522677234698370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11-4536-BEF0-9FCB644869E8}"/>
                </c:ext>
              </c:extLst>
            </c:dLbl>
            <c:dLbl>
              <c:idx val="3"/>
              <c:layout>
                <c:manualLayout>
                  <c:x val="7.0801806967734715E-3"/>
                  <c:y val="4.01606425702811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11-4536-BEF0-9FCB644869E8}"/>
                </c:ext>
              </c:extLst>
            </c:dLbl>
            <c:dLbl>
              <c:idx val="4"/>
              <c:layout>
                <c:manualLayout>
                  <c:x val="3.9968399099898529E-3"/>
                  <c:y val="9.41252024348020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F11-4536-BEF0-9FCB644869E8}"/>
                </c:ext>
              </c:extLst>
            </c:dLbl>
            <c:dLbl>
              <c:idx val="5"/>
              <c:layout>
                <c:manualLayout>
                  <c:x val="2.7242671698847915E-4"/>
                  <c:y val="-2.60428882559892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F11-4536-BEF0-9FCB644869E8}"/>
                </c:ext>
              </c:extLst>
            </c:dLbl>
            <c:dLbl>
              <c:idx val="6"/>
              <c:layout>
                <c:manualLayout>
                  <c:x val="7.6436689545262239E-3"/>
                  <c:y val="8.0324447395882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F11-4536-BEF0-9FCB644869E8}"/>
                </c:ext>
              </c:extLst>
            </c:dLbl>
            <c:dLbl>
              <c:idx val="7"/>
              <c:layout>
                <c:manualLayout>
                  <c:x val="7.8247391777977616E-3"/>
                  <c:y val="4.01701293362426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F11-4536-BEF0-9FCB644869E8}"/>
                </c:ext>
              </c:extLst>
            </c:dLbl>
            <c:dLbl>
              <c:idx val="8"/>
              <c:layout>
                <c:manualLayout>
                  <c:x val="1.0651619029051904E-2"/>
                  <c:y val="-4.01574803149606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F11-4536-BEF0-9FCB644869E8}"/>
                </c:ext>
              </c:extLst>
            </c:dLbl>
            <c:dLbl>
              <c:idx val="9"/>
              <c:layout>
                <c:manualLayout>
                  <c:x val="5.2554690873675799E-5"/>
                  <c:y val="4.01770257441224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F11-4536-BEF0-9FCB644869E8}"/>
                </c:ext>
              </c:extLst>
            </c:dLbl>
            <c:dLbl>
              <c:idx val="10"/>
              <c:layout>
                <c:manualLayout>
                  <c:x val="3.9025908534534413E-4"/>
                  <c:y val="1.41849556039537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F11-4536-BEF0-9FCB644869E8}"/>
                </c:ext>
              </c:extLst>
            </c:dLbl>
            <c:numFmt formatCode="#,##0.0" sourceLinked="0"/>
            <c:spPr>
              <a:solidFill>
                <a:schemeClr val="bg1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'tab. salda SR'!$A$18:$A$28</c:f>
              <c:strCache>
                <c:ptCount val="11"/>
                <c:pt idx="0">
                  <c:v>leden</c:v>
                </c:pt>
                <c:pt idx="1">
                  <c:v>leden-únor</c:v>
                </c:pt>
                <c:pt idx="2">
                  <c:v>leden-březen</c:v>
                </c:pt>
                <c:pt idx="3">
                  <c:v>leden-duben</c:v>
                </c:pt>
                <c:pt idx="4">
                  <c:v>leden-květen</c:v>
                </c:pt>
                <c:pt idx="5">
                  <c:v>leden-červen</c:v>
                </c:pt>
                <c:pt idx="6">
                  <c:v>leden-červenec</c:v>
                </c:pt>
                <c:pt idx="7">
                  <c:v>leden-srpen</c:v>
                </c:pt>
                <c:pt idx="8">
                  <c:v>leden-září</c:v>
                </c:pt>
                <c:pt idx="9">
                  <c:v>leden-říjen</c:v>
                </c:pt>
                <c:pt idx="10">
                  <c:v>leden-listopad</c:v>
                </c:pt>
              </c:strCache>
            </c:strRef>
          </c:cat>
          <c:val>
            <c:numRef>
              <c:f>'tab. salda SR'!$C$18:$C$28</c:f>
              <c:numCache>
                <c:formatCode>0.00</c:formatCode>
                <c:ptCount val="11"/>
                <c:pt idx="0">
                  <c:v>8.7720437151099873</c:v>
                </c:pt>
                <c:pt idx="1">
                  <c:v>-19.905118727509972</c:v>
                </c:pt>
                <c:pt idx="2">
                  <c:v>-9.2423153074099673</c:v>
                </c:pt>
                <c:pt idx="3">
                  <c:v>-29.683749072660021</c:v>
                </c:pt>
                <c:pt idx="4">
                  <c:v>-50.902012544239938</c:v>
                </c:pt>
                <c:pt idx="5">
                  <c:v>-20.683383367440229</c:v>
                </c:pt>
                <c:pt idx="6">
                  <c:v>-9.676692496960186</c:v>
                </c:pt>
                <c:pt idx="7">
                  <c:v>-15.382486740709965</c:v>
                </c:pt>
                <c:pt idx="8">
                  <c:v>-20.985220844569994</c:v>
                </c:pt>
                <c:pt idx="9">
                  <c:v>-19.566194652300737</c:v>
                </c:pt>
                <c:pt idx="10">
                  <c:v>-38.625331989190954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4F11-4536-BEF0-9FCB64486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943744"/>
        <c:axId val="38315136"/>
      </c:barChart>
      <c:catAx>
        <c:axId val="18894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848484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38315136"/>
        <c:crosses val="autoZero"/>
        <c:auto val="1"/>
        <c:lblAlgn val="ctr"/>
        <c:lblOffset val="100"/>
        <c:noMultiLvlLbl val="0"/>
      </c:catAx>
      <c:valAx>
        <c:axId val="38315136"/>
        <c:scaling>
          <c:orientation val="minMax"/>
        </c:scaling>
        <c:delete val="0"/>
        <c:axPos val="l"/>
        <c:majorGridlines>
          <c:spPr>
            <a:ln w="3175">
              <a:solidFill>
                <a:srgbClr val="8080FF">
                  <a:alpha val="39000"/>
                </a:srgbClr>
              </a:solidFill>
              <a:prstDash val="solid"/>
            </a:ln>
          </c:spPr>
        </c:majorGridlines>
        <c:numFmt formatCode="0.00" sourceLinked="1"/>
        <c:majorTickMark val="none"/>
        <c:minorTickMark val="none"/>
        <c:tickLblPos val="nextTo"/>
        <c:spPr>
          <a:ln w="3175">
            <a:solidFill>
              <a:srgbClr val="848484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8894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4100974834388409"/>
          <c:y val="0.88253001619478411"/>
          <c:w val="0.34572080473604749"/>
          <c:h val="8.6345283967163677E-2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2630</Words>
  <Characters>15517</Characters>
  <Application>Microsoft Office Word</Application>
  <DocSecurity>4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Polanský Pavel Mgr.</dc:creator>
  <cp:lastModifiedBy>Michaela Mottlová</cp:lastModifiedBy>
  <cp:revision>2</cp:revision>
  <cp:lastPrinted>2016-08-31T12:06:00Z</cp:lastPrinted>
  <dcterms:created xsi:type="dcterms:W3CDTF">2019-12-05T13:04:00Z</dcterms:created>
  <dcterms:modified xsi:type="dcterms:W3CDTF">2019-12-05T13:04:00Z</dcterms:modified>
</cp:coreProperties>
</file>