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E72" w:rsidRDefault="00DE1AF0" w:rsidP="007074BC">
      <w:pPr>
        <w:spacing w:line="360" w:lineRule="auto"/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5671185" cy="922655"/>
            <wp:effectExtent l="0" t="0" r="571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Z-tiskove-201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2A1" w:rsidRDefault="001352A1" w:rsidP="001352A1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bookmarkStart w:id="0" w:name="_GoBack"/>
      <w:r w:rsidRPr="001352A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Plnění státního rozpočtu ČR za leden až listopad 2019</w:t>
      </w:r>
      <w:bookmarkEnd w:id="0"/>
    </w:p>
    <w:p w:rsidR="001352A1" w:rsidRPr="001352A1" w:rsidRDefault="001352A1" w:rsidP="001352A1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</w:p>
    <w:p w:rsidR="001352A1" w:rsidRPr="001352A1" w:rsidRDefault="001352A1" w:rsidP="001352A1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352A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K 30. listopadu 2019 dosáhly </w:t>
      </w:r>
      <w:r w:rsidRPr="001352A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celkové příjmy </w:t>
      </w:r>
      <w:r w:rsidRPr="001352A1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státního rozpočtu</w:t>
      </w:r>
      <w:r w:rsidRPr="001352A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1 351,5 mld. Kč, celkové výdaje 1 390,1 mld. Kč a schodek hospodaření 38,6 mld. Kč </w:t>
      </w:r>
      <w:r w:rsidRPr="001352A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(na konci listopadu roku 2018 byl schodek ve výši 21,6 mld. Kč). </w:t>
      </w:r>
    </w:p>
    <w:p w:rsidR="001352A1" w:rsidRPr="001352A1" w:rsidRDefault="001352A1" w:rsidP="001352A1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352A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Bez započítání mimořádných jednorázových příjmů ve výši téměř 21 mld. Kč</w:t>
      </w:r>
      <w:r w:rsidRPr="001352A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které inkasoval v loňském roce státní rozpočet jako závěrečné platby vztahující se k programovému období 2007 až 2013, </w:t>
      </w:r>
      <w:r w:rsidRPr="001352A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byl schodek dokonce meziročně nižší o téměř 4 mld. Kč</w:t>
      </w:r>
      <w:r w:rsidRPr="001352A1">
        <w:rPr>
          <w:rFonts w:ascii="Times New Roman" w:eastAsia="Times New Roman" w:hAnsi="Times New Roman" w:cs="Times New Roman"/>
          <w:sz w:val="24"/>
          <w:szCs w:val="20"/>
          <w:lang w:eastAsia="cs-CZ"/>
        </w:rPr>
        <w:t>. V souvislosti s rozpočtem Evropské unie se v dosavadním průběhu letošního roku projevuje o téměř 10 mld. Kč (o 9,3 %) vyšší objem předfinancovaných projektů na společné programy České republiky a Evropské unie. Tyto výdaje pak mají pozitivní dopad i na meziroční nárůst investic o téměř 16 % (o 16,1 mld. Kč).</w:t>
      </w:r>
    </w:p>
    <w:p w:rsidR="001352A1" w:rsidRPr="001352A1" w:rsidRDefault="001352A1" w:rsidP="001352A1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352A1">
        <w:rPr>
          <w:rFonts w:ascii="Times New Roman" w:eastAsia="Times New Roman" w:hAnsi="Times New Roman" w:cs="Times New Roman"/>
          <w:sz w:val="24"/>
          <w:szCs w:val="20"/>
          <w:lang w:eastAsia="cs-CZ"/>
        </w:rPr>
        <w:t>Schodek státního rozpočtu po očištění celkového vlivu prostředků z Evropské unie a finančních mechanismů, tj. příjmů i výdajů na tyto projekty,</w:t>
      </w:r>
      <w:r w:rsidRPr="001352A1" w:rsidDel="00F53F9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1352A1">
        <w:rPr>
          <w:rFonts w:ascii="Times New Roman" w:eastAsia="Times New Roman" w:hAnsi="Times New Roman" w:cs="Times New Roman"/>
          <w:sz w:val="24"/>
          <w:szCs w:val="20"/>
          <w:lang w:eastAsia="cs-CZ"/>
        </w:rPr>
        <w:t>dosáhl ke konci listopadu výše 35,8 mld. Kč. Ve stejném období roku 2018 představoval takto očištěný výsledek schodek 17,3 mld. Kč, což znamená meziročně horší saldo o 18,5 mld. Kč. Na něj pak mají výrazný podíl investiční výdaje realizované z národních zdrojů s meziročním růstem o 12,0 mld. Kč.</w:t>
      </w:r>
    </w:p>
    <w:p w:rsidR="001352A1" w:rsidRPr="001352A1" w:rsidRDefault="001352A1" w:rsidP="001352A1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352A1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drawing>
          <wp:inline distT="0" distB="0" distL="0" distR="0" wp14:anchorId="1F2B2D04" wp14:editId="566AC1CD">
            <wp:extent cx="5972810" cy="2345055"/>
            <wp:effectExtent l="0" t="0" r="8890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352A1" w:rsidRPr="001352A1" w:rsidRDefault="001352A1" w:rsidP="001352A1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1352A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Nejvýraznější vlivy na straně příjmů</w:t>
      </w:r>
    </w:p>
    <w:p w:rsidR="001352A1" w:rsidRPr="001352A1" w:rsidRDefault="001352A1" w:rsidP="001352A1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352A1">
        <w:rPr>
          <w:rFonts w:ascii="Times New Roman" w:eastAsia="Times New Roman" w:hAnsi="Times New Roman" w:cs="Times New Roman"/>
          <w:sz w:val="24"/>
          <w:szCs w:val="20"/>
          <w:lang w:eastAsia="cs-CZ"/>
        </w:rPr>
        <w:t>Příjmy státního rozpočtu bez vlivu prostředků z EU a FM a bez započtení prostředků převedených do příjmů z tzv. privatizačního účtu meziročně vzrostly o 72,5 mld. Kč, tj. o 6,3 %.</w:t>
      </w:r>
    </w:p>
    <w:p w:rsidR="001352A1" w:rsidRPr="001352A1" w:rsidRDefault="001352A1" w:rsidP="001352A1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352A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Mezi dlouhodobě nejdynamičtěji rostoucími daňovými příjmy byla i nadále daň z příjmů fyzických osob ze závislé činnosti (placená plátci), jejíž 12% tempo spolu s téměř 8% růstem příspěvků z pojistného na sociální zabezpečení zvýšily příjmy státního rozpočtu meziročně o 49,3 mld. Kč. V meziročním srovnání rostlo ještě rychleji inkaso daně z příjmů fyzických osob z přiznání (placené poplatníky), a to o 37,9 %. Výrazný meziroční růst inkasa daně z příjmů právnických osob o téměř 6 % odráží příznivé ekonomické výsledky firem a podnikatelů. Inkaso daně z přidané hodnoty, zatížené jednorázovými negativními efekty z počátku tohoto roku (nižší objem zadržovaných nadměrných odpočtů v důsledku </w:t>
      </w:r>
      <w:r w:rsidRPr="001352A1">
        <w:rPr>
          <w:rFonts w:ascii="Times New Roman" w:eastAsia="Times New Roman" w:hAnsi="Times New Roman" w:cs="Times New Roman"/>
          <w:sz w:val="24"/>
          <w:szCs w:val="20"/>
          <w:lang w:eastAsia="cs-CZ"/>
        </w:rPr>
        <w:lastRenderedPageBreak/>
        <w:t xml:space="preserve">efektivnější kontrolní činnosti finanční správy, jednorázové vyplacení vyšší částky nadměrného odpočtu), v posledních měsících dohánělo zmiňovaný výpadek inkasa z počátku roku. Výše inkasa daně z přidané hodnoty na měsíční bázi byla opět negativně ovlivněna nižším počtem pracovních dní. Naopak v meziročním srovnání došlo k negativnímu vývoji u inkasa daně z tabákových výrobků. Producenti tabákových výrobků se předzásobili tabákovými nálepkami v souvislosti s novým požadavkem na zajištění sledovatelnosti tabákových výrobků. Vliv na výkyvy inkasa této daně v posledních měsících roku má rovněž chování producentů tabákových výrobků před očekávaným zvýšením sazby spotřební daně. </w:t>
      </w:r>
    </w:p>
    <w:p w:rsidR="001352A1" w:rsidRPr="001352A1" w:rsidRDefault="001352A1" w:rsidP="001352A1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352A1">
        <w:rPr>
          <w:rFonts w:ascii="Times New Roman" w:eastAsia="Times New Roman" w:hAnsi="Times New Roman" w:cs="Times New Roman"/>
          <w:sz w:val="24"/>
          <w:szCs w:val="20"/>
          <w:lang w:eastAsia="cs-CZ"/>
        </w:rPr>
        <w:t>Nedaňové a kapitálové příjmy a přijaté transfery meziročně vzrostly o 32,9 mld. Kč, z čehož příjmy z prostředků EU a FM zvyšovaly inkaso o 11,3 mld. Kč.</w:t>
      </w:r>
    </w:p>
    <w:p w:rsidR="001352A1" w:rsidRPr="001352A1" w:rsidRDefault="001352A1" w:rsidP="001352A1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1352A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Nejvýraznější vlivy na straně výdajů</w:t>
      </w:r>
    </w:p>
    <w:p w:rsidR="001352A1" w:rsidRPr="001352A1" w:rsidRDefault="001352A1" w:rsidP="001352A1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352A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Sociální dávky se vyvíjejí v souladu se schváleným rozpočtem, podobně jako výdaje na platy. Na druhou stranu byla v prvních jedenácti měsících roku předfinancována již velká část transferů, z nichž některé přechodně ovlivňují relativně vysoký meziroční růst. Například neinvestiční transfery neziskovým a podobným organizacím byly vyplaceny z více než 99 % rozpočtu, územním samosprávným celkům bylo v běžných výdajích poskytnuto již přes 98 % rozpočtu a příspěvkovým a podobným organizacím bylo vyplaceno přes 95 % neinvestičního rozpočtu. Do rozpočtu Evropské unie bylo letos odvedeno již téměř 96 % plánované částky, tedy meziročně o 7,4 mld. Kč více. U těchto výdajových položek lze v posledním měsíci roku očekávat výrazné zpomalení jejich realizace. Na konci listopadu rostly celkové výdaje již o 0,3 p. b. pomaleji, než předpokládá výše výdajů daná rozpočtem po změnách. </w:t>
      </w:r>
    </w:p>
    <w:p w:rsidR="001352A1" w:rsidRPr="001352A1" w:rsidRDefault="001352A1" w:rsidP="001352A1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352A1">
        <w:rPr>
          <w:rFonts w:ascii="Times New Roman" w:eastAsia="Times New Roman" w:hAnsi="Times New Roman" w:cs="Times New Roman"/>
          <w:sz w:val="24"/>
          <w:szCs w:val="20"/>
          <w:lang w:eastAsia="cs-CZ"/>
        </w:rPr>
        <w:t>Realizace investic na úrovni témě</w:t>
      </w:r>
      <w:r w:rsidR="00533436">
        <w:rPr>
          <w:rFonts w:ascii="Times New Roman" w:eastAsia="Times New Roman" w:hAnsi="Times New Roman" w:cs="Times New Roman"/>
          <w:sz w:val="24"/>
          <w:szCs w:val="20"/>
          <w:lang w:eastAsia="cs-CZ"/>
        </w:rPr>
        <w:t>ř 87 % rozpočtu po změnách nasvědčuje tomu</w:t>
      </w:r>
      <w:r w:rsidRPr="001352A1">
        <w:rPr>
          <w:rFonts w:ascii="Times New Roman" w:eastAsia="Times New Roman" w:hAnsi="Times New Roman" w:cs="Times New Roman"/>
          <w:sz w:val="24"/>
          <w:szCs w:val="20"/>
          <w:lang w:eastAsia="cs-CZ"/>
        </w:rPr>
        <w:t>, že se objem těchto výdajů na konci roku bude blížit výši dané rozpočtem po změnách.</w:t>
      </w:r>
    </w:p>
    <w:p w:rsidR="001352A1" w:rsidRPr="001352A1" w:rsidRDefault="001352A1" w:rsidP="001352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highlight w:val="yellow"/>
          <w:lang w:eastAsia="cs-CZ"/>
        </w:rPr>
      </w:pPr>
      <w:r w:rsidRPr="001352A1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drawing>
          <wp:inline distT="0" distB="0" distL="0" distR="0" wp14:anchorId="5899BD06" wp14:editId="1CF56A12">
            <wp:extent cx="6301105" cy="2097261"/>
            <wp:effectExtent l="0" t="0" r="444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2097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2A1" w:rsidRPr="001352A1" w:rsidRDefault="001352A1" w:rsidP="001352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bookmarkStart w:id="1" w:name="OLE_LINK1"/>
      <w:r w:rsidRPr="001352A1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*) Saldo očištěné o prostředky na programy/projekty z rozpočtu EU a FM, které byly předfinancovány ze SR a následně jsou propláceny z rozpočtu EU a FM</w:t>
      </w:r>
    </w:p>
    <w:bookmarkEnd w:id="1"/>
    <w:p w:rsidR="001352A1" w:rsidRPr="001352A1" w:rsidRDefault="001352A1" w:rsidP="001352A1">
      <w:pPr>
        <w:keepNext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1352A1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Příjmy státního rozpočtu – podrobný komentář</w:t>
      </w:r>
    </w:p>
    <w:p w:rsidR="001352A1" w:rsidRPr="001352A1" w:rsidRDefault="001352A1" w:rsidP="001352A1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352A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Inkaso daňových příjmů včetně pojistného na sociální zabezpečení</w:t>
      </w:r>
      <w:r w:rsidRPr="001352A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dosáhlo 1 178,4 mld. Kč a meziročně vzrostlo o 68,9 mld. Kč, tj. o 6,2 %.</w:t>
      </w:r>
    </w:p>
    <w:p w:rsidR="001352A1" w:rsidRPr="001352A1" w:rsidRDefault="001352A1" w:rsidP="001352A1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52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Celkové inkaso DPH</w:t>
      </w:r>
      <w:r w:rsidRPr="001352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výši</w:t>
      </w:r>
      <w:r w:rsidRPr="001352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265,8 mld. Kč</w:t>
      </w:r>
      <w:r w:rsidRPr="001352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bylo meziročně vyšší o 9,9 mld. Kč, což znamenalo meziroční růst o 3,9 %. Inkaso za leden až listopad bylo v některých měsících tlumeno jednorázovými vlivy jako nižší objem zadržovaných nadměrných odpočtů oproti stejnému období minulého roku, což je důsledkem efektivnějšího zacílení </w:t>
      </w:r>
      <w:r w:rsidRPr="001352A1">
        <w:rPr>
          <w:rFonts w:ascii="Times New Roman" w:eastAsia="Times New Roman" w:hAnsi="Times New Roman" w:cs="Times New Roman"/>
          <w:sz w:val="24"/>
          <w:szCs w:val="20"/>
          <w:lang w:eastAsia="cs-CZ"/>
        </w:rPr>
        <w:t>kontrolní činnosti finanční správy, jednorázové vyplacení vyšší částky nadměrného odpočtu DPH a mimořádná platba v říjnu 2018. Výše inkasa DPH na měsíční bázi byla opět negativně ovlivněna nižším počtem pracovních dní. Mírně</w:t>
      </w:r>
      <w:r w:rsidRPr="001352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negativní dopad na inkaso má také zavedení nižší sazby DPH na pravidelnou hromadnou dopravu, které je účinné od února 2019. </w:t>
      </w:r>
    </w:p>
    <w:p w:rsidR="001352A1" w:rsidRPr="001352A1" w:rsidRDefault="001352A1" w:rsidP="001352A1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52A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V letošním roce není inkaso této daně ovlivněno změnou rozpočtového určení daní. Celoroční plánovaný růst inkasa DPH proti skutečnosti roku 2018 ve výši 6,8 % vychází hlavně z očekávání pozitivního dopadu pokračujícího příznivého vývoje ekonomiky a také z opatření zavedených v předchozích letech, vedle elektronické evidence tržeb zejména kontrolního hlášení. V rozpočtu se počítá se spuštěním 3. a 4. etapy elektronické evidence tržeb a se souvisejícím pozitivním efektem na příjmy státního rozpočtu v odhadované výši 0,7 mld. Kč. Současně rozpočet počítá s negativním dopadem přesunu části některých služeb, jako např. úprava a rozvod vody, stravovacích služeb a dalších, do nižší 10% sazby DPH v odhadované výši 1 mld. Kč. U těchto opatření byl však ukončen legislativní proces až nyní a opatření proto budou účinná až od května r. 2020. </w:t>
      </w:r>
    </w:p>
    <w:p w:rsidR="001352A1" w:rsidRPr="001352A1" w:rsidRDefault="001352A1" w:rsidP="001352A1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352A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Inkaso </w:t>
      </w:r>
      <w:r w:rsidRPr="001352A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spotřebních daní</w:t>
      </w:r>
      <w:r w:rsidRPr="001352A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(vč. tzv. energetických daní a odvodu z elektřiny ze slunečního záření) dosáhlo</w:t>
      </w:r>
      <w:r w:rsidRPr="001352A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144,4 mld. Kč</w:t>
      </w:r>
      <w:r w:rsidRPr="001352A1">
        <w:rPr>
          <w:rFonts w:ascii="Times New Roman" w:eastAsia="Times New Roman" w:hAnsi="Times New Roman" w:cs="Times New Roman"/>
          <w:sz w:val="24"/>
          <w:szCs w:val="20"/>
          <w:lang w:eastAsia="cs-CZ"/>
        </w:rPr>
        <w:t>,</w:t>
      </w:r>
      <w:r w:rsidRPr="001352A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r w:rsidRPr="001352A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což bylo o 0,5 mld. Kč, tj. o 0,3 %, více než na konci listopadu 2018. </w:t>
      </w:r>
    </w:p>
    <w:p w:rsidR="001352A1" w:rsidRPr="001352A1" w:rsidRDefault="001352A1" w:rsidP="001352A1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352A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Inkaso </w:t>
      </w:r>
      <w:r w:rsidRPr="001352A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spotřební daně z minerálních olejů</w:t>
      </w:r>
      <w:r w:rsidRPr="001352A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zatím dosáhlo 76,2 mld. Kč při meziročním růstu o 2,1 mld. Kč, tj. o 2,9 %. Rozpočet této daně počítá s nárůstem proti skutečnosti 2018 o 2,4 % zejména z důvodu pokračujícího pozitivního ekonomického vývoje, který je doprovázen rostoucími přepravními výkony i vyšší spotřebou pohonných hmot související s rostoucími příjmy domácností. Celkový růst inkasa však nadále ovlivňuje vratka za tzv. zelenou naftu i pro živočišnou prvovýrobu zavedená v roce 2017 a v následujících letech dále novelizovaná. Vzhledem k poslední legislativní změně, která prodlužuje zdaňovací období z kalendářního měsíce na kalendářní čtvrtletí, případně kalendářní rok, bude část této daně vracena až v roce 2020. V rozpočtu je tato změna zohledněna.</w:t>
      </w:r>
    </w:p>
    <w:p w:rsidR="001352A1" w:rsidRPr="001352A1" w:rsidRDefault="001352A1" w:rsidP="001352A1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352A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Inkaso </w:t>
      </w:r>
      <w:r w:rsidRPr="001352A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spotřební daně z</w:t>
      </w:r>
      <w:r w:rsidRPr="001352A1">
        <w:rPr>
          <w:rFonts w:ascii="Times New Roman" w:eastAsia="Times New Roman" w:hAnsi="Times New Roman" w:cs="Times New Roman"/>
          <w:sz w:val="24"/>
          <w:szCs w:val="20"/>
          <w:lang w:eastAsia="cs-CZ"/>
        </w:rPr>
        <w:t> </w:t>
      </w:r>
      <w:r w:rsidRPr="001352A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tabákových výrobků</w:t>
      </w:r>
      <w:r w:rsidRPr="001352A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dosáhlo 51,3 mld. Kč, což bylo meziročně o 1,6 mld. Kč, tj. o 3,1 % méně. Nicméně proti skutečnosti roku 2018 počítá rozpočet s poklesem inkasa této daně o 4,6 %. Výpadek inkasa z počátku roku, který byl způsoben zavedením nového typu značení tabákových výrobků, kdy se plátci daně předzásobili staršími tabákovými nálepkami v průběhu konce roku 2018, byl již plně vykompenzován. Od července se v měsíčním inkasu začal projevovat další efekt předzásobení se výrobci a dovozci tabákovými nálepkami, tentokrát z důvodu povinnosti zajištění sledovatelnosti tabákových výrobků (Track and </w:t>
      </w:r>
      <w:proofErr w:type="spellStart"/>
      <w:r w:rsidRPr="001352A1">
        <w:rPr>
          <w:rFonts w:ascii="Times New Roman" w:eastAsia="Times New Roman" w:hAnsi="Times New Roman" w:cs="Times New Roman"/>
          <w:sz w:val="24"/>
          <w:szCs w:val="20"/>
          <w:lang w:eastAsia="cs-CZ"/>
        </w:rPr>
        <w:t>Trace</w:t>
      </w:r>
      <w:proofErr w:type="spellEnd"/>
      <w:r w:rsidRPr="001352A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), neboť na výrobky vyrobené před 20. květnem se tato povinnost ještě nevztahovala. Dalším faktorem, který zapříčiňuje těžko </w:t>
      </w:r>
      <w:proofErr w:type="spellStart"/>
      <w:r w:rsidRPr="001352A1">
        <w:rPr>
          <w:rFonts w:ascii="Times New Roman" w:eastAsia="Times New Roman" w:hAnsi="Times New Roman" w:cs="Times New Roman"/>
          <w:sz w:val="24"/>
          <w:szCs w:val="20"/>
          <w:lang w:eastAsia="cs-CZ"/>
        </w:rPr>
        <w:t>predikovatelné</w:t>
      </w:r>
      <w:proofErr w:type="spellEnd"/>
      <w:r w:rsidRPr="001352A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výkyvy inkasa, je očekávané zvýšení spotřební daně z tabákových výrobků a s tím související reakce obchodních strategií jednotlivých producentů. V roce 2019 nebyly navyšovány sazby této daně; s účinností od 1. dubna 2019 je však nově zavedena spotřební daň na zahřívané tabákové výrobky. </w:t>
      </w:r>
    </w:p>
    <w:p w:rsidR="001352A1" w:rsidRPr="001352A1" w:rsidRDefault="001352A1" w:rsidP="001352A1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352A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Inkaso </w:t>
      </w:r>
      <w:r w:rsidRPr="001352A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daně z příjmů fyzických osob placené plátci</w:t>
      </w:r>
      <w:r w:rsidRPr="001352A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(dříve ze závislé činnosti) při meziročním růstu o 13,7 mld. Kč, tj. o 12,0 %, zatím dosáhlo 127,8 mld. Kč. Plánovaný meziroční růst inkasa proti skutečnosti 2018 je odrazem jak pokračujícího vysokého růstu platů a mezd ve veřejném i v soukromém sektoru, zvýšením minimální a zaručených mezd, tak i vysoké úrovně zaměstnanosti. Pozitivně se na inkasu projevuje i zavedení elektronické evidence tržeb. </w:t>
      </w:r>
    </w:p>
    <w:p w:rsidR="001352A1" w:rsidRPr="001352A1" w:rsidRDefault="001352A1" w:rsidP="001352A1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352A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Inkaso </w:t>
      </w:r>
      <w:r w:rsidRPr="001352A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daně z příjmů fyzických osob placené poplatníky</w:t>
      </w:r>
      <w:r w:rsidRPr="001352A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(dříve z přiznání) dosáhlo 5,2 mld. Kč, což představovalo meziroční růst o 1,4 mld. Kč, tj. o 37,9 %. Na plánovaný růst inkasa této daně proti skutečnosti roku 2018 má pozitivní vliv ekonomický růst a již i celoroční dopad zavedení první a druhé fáze elektronické evidence tržeb. Naopak negativní vliv na celoroční inkaso očekává ministerstvo financí z důvodu snížení limitu pro výdajové paušály a současného navrácení možnosti uplatnění vybraných slev na dani u poplatníků uplatňujících paušální výdaje. Negativně ovlivní inkaso v roce 2019 nově také zvýšení daňového zvýhodnění na první děti ve výši 0,4 mld. Kč.</w:t>
      </w:r>
    </w:p>
    <w:p w:rsidR="001352A1" w:rsidRPr="001352A1" w:rsidRDefault="001352A1" w:rsidP="001352A1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352A1">
        <w:rPr>
          <w:rFonts w:ascii="Times New Roman" w:eastAsia="Times New Roman" w:hAnsi="Times New Roman" w:cs="Times New Roman"/>
          <w:sz w:val="24"/>
          <w:szCs w:val="20"/>
          <w:lang w:eastAsia="cs-CZ"/>
        </w:rPr>
        <w:lastRenderedPageBreak/>
        <w:t xml:space="preserve">Inkaso </w:t>
      </w:r>
      <w:r w:rsidRPr="001352A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daně z příjmů fyzických osob vybírané srážkou </w:t>
      </w:r>
      <w:r w:rsidRPr="001352A1">
        <w:rPr>
          <w:rFonts w:ascii="Times New Roman" w:eastAsia="Times New Roman" w:hAnsi="Times New Roman" w:cs="Times New Roman"/>
          <w:sz w:val="24"/>
          <w:szCs w:val="20"/>
          <w:lang w:eastAsia="cs-CZ"/>
        </w:rPr>
        <w:t>dosáhlo 12,6 mld. Kč, což bylo o 1,3 mld. Kč, tj. o 11,4 %, více než na konci listopadu 2018. V letošním roce nemají na inkaso této daně vliv žádné výraznější legislativní úpravy.</w:t>
      </w:r>
    </w:p>
    <w:p w:rsidR="001352A1" w:rsidRPr="001352A1" w:rsidRDefault="001352A1" w:rsidP="001352A1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1352A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Inkaso daní z příjmů právnických osob</w:t>
      </w:r>
      <w:r w:rsidRPr="001352A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dosáhlo za 11 měsíců roku 99,0 mld. Kč, tj. 79,5 % rozpočtu. Inkaso této daně meziročně vzrostlo o 5,5 mld. Kč, tj. o 5,9 %, což odpovídá i růstu plánovaného ve schváleném rozpočtu. Inkaso je meziročně pozitivně ovlivněno ekonomickým růstem a dopadem zavedení elektronické evidence. </w:t>
      </w:r>
    </w:p>
    <w:p w:rsidR="001352A1" w:rsidRPr="001352A1" w:rsidRDefault="001352A1" w:rsidP="001352A1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352A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U inkasa </w:t>
      </w:r>
      <w:r w:rsidRPr="001352A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daně z nabytí nemovitých věcí, </w:t>
      </w:r>
      <w:r w:rsidRPr="001352A1">
        <w:rPr>
          <w:rFonts w:ascii="Times New Roman" w:eastAsia="Times New Roman" w:hAnsi="Times New Roman" w:cs="Times New Roman"/>
          <w:sz w:val="24"/>
          <w:szCs w:val="20"/>
          <w:lang w:eastAsia="cs-CZ"/>
        </w:rPr>
        <w:t>které zatím při meziročním růstu o 1,1 % dosáhlo 12,7 mld. Kč, počítá rozpočet s poklesem proti inkasu roku 2018 o 9,8 %. Inkaso mělo být meziročně ovlivněno předpokládanou pozvolnou stagnací realitního trhu.</w:t>
      </w:r>
    </w:p>
    <w:p w:rsidR="001352A1" w:rsidRPr="001352A1" w:rsidRDefault="001352A1" w:rsidP="001352A1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352A1">
        <w:rPr>
          <w:rFonts w:ascii="Times New Roman" w:eastAsia="Times New Roman" w:hAnsi="Times New Roman" w:cs="Times New Roman"/>
          <w:sz w:val="24"/>
          <w:szCs w:val="20"/>
          <w:lang w:eastAsia="cs-CZ"/>
        </w:rPr>
        <w:t>U</w:t>
      </w:r>
      <w:r w:rsidRPr="001352A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příjmů z pojistného</w:t>
      </w:r>
      <w:r w:rsidRPr="001352A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1352A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na sociální zabezpečení</w:t>
      </w:r>
      <w:r w:rsidRPr="001352A1">
        <w:rPr>
          <w:rFonts w:ascii="Times New Roman" w:eastAsia="Times New Roman" w:hAnsi="Times New Roman" w:cs="Times New Roman"/>
          <w:sz w:val="24"/>
          <w:szCs w:val="20"/>
          <w:lang w:eastAsia="cs-CZ"/>
        </w:rPr>
        <w:t>, které zatím při meziročním růstu o 35,6 mld. Kč, tj. o 7,6 %, dosáhly 500,4 mld. Kč, počítá rozpočet s růstem o 8,4 % proti skutečnosti 2018 (v prosinci lze tradičně očekávat vyšší než alikvotní inkaso). Rozpočet vychází z dynamiky meziročního růstu objemu mezd a platů pro rok 2019 o 8,3 %, ve kterém se promítl jak růst zaměstnanosti, tak i výrazný růst pracovních příjmů.</w:t>
      </w:r>
    </w:p>
    <w:p w:rsidR="001352A1" w:rsidRPr="001352A1" w:rsidRDefault="001352A1" w:rsidP="001352A1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1352A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Na </w:t>
      </w:r>
      <w:r w:rsidRPr="001352A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nedaňových a kapitálových příjmech a přijatých transferech</w:t>
      </w:r>
      <w:r w:rsidRPr="001352A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ve výši 173,1 mld. Kč (meziroční růst o 32,9 mld. Kč) se nejvíce podílely </w:t>
      </w:r>
      <w:r w:rsidRPr="001352A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příjmy z rozpočtu EU a FM</w:t>
      </w:r>
      <w:r w:rsidRPr="001352A1">
        <w:rPr>
          <w:rFonts w:ascii="Times New Roman" w:eastAsia="Times New Roman" w:hAnsi="Times New Roman" w:cs="Times New Roman"/>
          <w:sz w:val="24"/>
          <w:szCs w:val="20"/>
          <w:lang w:eastAsia="cs-CZ"/>
        </w:rPr>
        <w:t>. Ty dosáhly 112,4 mld. Kč a byly tak proti stejnému období roku 2018 vyšší o 11,3 mld. Kč i přes to, že v 11 měsících roku 2018 získal státní rozpočet 20,8 mld. Kč, které představovaly část závěrečných plateb vztahujících se k programovému období 2007–2013. Bez těchto prostředků by příjmy z EU dosáhly výrazného růstu, který odpovídá vyšší schopnosti realizace společných programů EU a ČR, se kterou souvisí i následná refundace prostředků z rozpočtu EU. Růstově působí i březnový převod 18 mld. Kč z tzv. privatizačního účtu do příjmů kapitoly VPS, který byl v roce 2018 nulový.</w:t>
      </w:r>
    </w:p>
    <w:p w:rsidR="001352A1" w:rsidRPr="001352A1" w:rsidRDefault="001352A1" w:rsidP="001352A1">
      <w:pPr>
        <w:tabs>
          <w:tab w:val="left" w:pos="56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1352A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Výdaje státního rozpočtu – podrobný komentář</w:t>
      </w:r>
    </w:p>
    <w:p w:rsidR="001352A1" w:rsidRPr="001352A1" w:rsidRDefault="001352A1" w:rsidP="001352A1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352A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Celkové výdaje v objemu 1 390,1 mld. Kč</w:t>
      </w:r>
      <w:r w:rsidRPr="001352A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byly o 118,8 mld. Kč, tj. o 9,3 %, nad úrovní stejného období minulého roku. Oproti skutečnému čerpání v roce 2018 rozpočet předpokládá jejich růst o 9,6 %. Meziroční růst ovlivnily zejména sociální dávky vyšší o 41,5 mld. Kč (zejména vliv vyšších výdajů na důchody), neinvestiční transfery veřejným rozpočtům územní úrovně vyšší o 25,3 mld. Kč (zejména vliv vyšších výdajů na platy v regionálním školství), neinvestiční transfery státním fondům vyšší o 8,8 mld. Kč, výdaje na platy na úrovni organizačních složek státu vyšší o 8,3 mld. Kč a odvody vlastních zdrojů do rozpočtu EU vyšší o 7,4 mld. Kč (vliv žádosti Evropské komise z průběhu 1. čtvrtletí o zaslání vyšší než alikvotní části rozpočtovaného objemu). Meziročně o 16,1 mld. Kč vzrostly i kapitálové výdaje. Výdaje na financování společných programů EU/FM a ČR (vč. SZP) zatím dosáhly 128,0 mld. Kč, což bylo o 10,8 mld. Kč (o 9,3 %) více než na konci listopadu 2018.</w:t>
      </w:r>
    </w:p>
    <w:p w:rsidR="001352A1" w:rsidRPr="001352A1" w:rsidRDefault="001352A1" w:rsidP="001352A1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352A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Největší objem prostředků v rámci běžných výdajů je každoročně </w:t>
      </w:r>
      <w:r w:rsidRPr="001352A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vynakládán na sociální dávky. </w:t>
      </w:r>
      <w:r w:rsidRPr="001352A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Ve schváleném rozpočtu byly zapracovány ve výši 601,9 mld. Kč, což je o 8,1 % více než skutečnost dosažená v roce 2018 (z toho plánovaný meziroční růst důchodů činí 8,9 %). </w:t>
      </w:r>
      <w:r w:rsidRPr="001352A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K 30.11.2019 bylo na sociální dávky vyplaceno 550,8 mld. Kč, </w:t>
      </w:r>
      <w:r w:rsidRPr="001352A1">
        <w:rPr>
          <w:rFonts w:ascii="Times New Roman" w:eastAsia="Times New Roman" w:hAnsi="Times New Roman" w:cs="Times New Roman"/>
          <w:sz w:val="24"/>
          <w:szCs w:val="20"/>
          <w:lang w:eastAsia="cs-CZ"/>
        </w:rPr>
        <w:t>což představovalo meziroční růst o 41,5 mld. Kč, tj. o 8,2 %. Na tom se podílely zejména výdaje na důchody s růstem o 34,7 mld. Kč, tj. o 8,8 %. Výdaje na důchody v roce 2019 rostou i díky zvýšení základní výměry důchodu z 9 % na 10 % průměrné mzdy a také procentní výměry důchodů o 1000 Kč u příjemců důchodů starších 85 let. Na růstu sociálních dávek se podílí i dávky nemocenského pojištění meziročně vyšší o 4,5 mld. Kč či příspěvek na péči vyšší o 3,3 mld. Kč.</w:t>
      </w:r>
    </w:p>
    <w:p w:rsidR="001352A1" w:rsidRPr="001352A1" w:rsidRDefault="001352A1" w:rsidP="001352A1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352A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Neinvestiční transfery veřejným rozpočtům</w:t>
      </w:r>
      <w:r w:rsidRPr="001352A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1352A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územní úrovně </w:t>
      </w:r>
      <w:r w:rsidRPr="001352A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dosáhly 181,1 mld. Kč a meziročně vzrostly o 25,3 mld. Kč. Na jejich výši i růstu se podílely především převody </w:t>
      </w:r>
      <w:r w:rsidRPr="001352A1">
        <w:rPr>
          <w:rFonts w:ascii="Times New Roman" w:eastAsia="Times New Roman" w:hAnsi="Times New Roman" w:cs="Times New Roman"/>
          <w:sz w:val="24"/>
          <w:szCs w:val="20"/>
          <w:lang w:eastAsia="cs-CZ"/>
        </w:rPr>
        <w:lastRenderedPageBreak/>
        <w:t>prostředků na přímé náklady škol zřizovaných obcemi a kraji</w:t>
      </w:r>
      <w:r w:rsidRPr="001352A1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ve výši</w:t>
      </w:r>
      <w:r w:rsidRPr="001352A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134,2 mld. Kč. Šlo o zálohy regionálnímu školství na celý rok ve výši 127,4 mld. Kč (v listopadu 2018 to bylo 109,8 mld. Kč) a o zálohy soukromému školství ve výši 6,8 mld. Kč (v listopadu 2018 to bylo 5,9 mld. Kč). Mimo to byla již v průběhu ledna převedena z Ministerstva školství, mládeže a tělovýchovy 1,1 mld. Kč, která směřovala na rozvojový program „Částečné vyrovnání mezikrajových rozdílů v odměňování pedagogických pracovníků mateřských, základních a středních škol, konzervatoří a školních družin v roce 2019“. S platností od 1.1.2019 se v meziročním nárůstu promítá navýšení objemu prostředků na platy v regionálním školství, a to o 15 % u pedagogických pracovníků a o 10 % u nepedagogických pracovníků. </w:t>
      </w:r>
    </w:p>
    <w:p w:rsidR="001352A1" w:rsidRPr="001352A1" w:rsidRDefault="001352A1" w:rsidP="001352A1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352A1">
        <w:rPr>
          <w:rFonts w:ascii="Times New Roman" w:eastAsia="Times New Roman" w:hAnsi="Times New Roman" w:cs="Times New Roman"/>
          <w:sz w:val="24"/>
          <w:szCs w:val="20"/>
          <w:lang w:eastAsia="cs-CZ"/>
        </w:rPr>
        <w:t>Transfery podle zákona o sociálních službách, které jsou z velké části převáděny do rozpočtů územních samosprávných celků, zatím dosáhly 16,8 mld. Kč, což představovalo meziroční růst o téměř 2 mld. Kč.</w:t>
      </w:r>
    </w:p>
    <w:p w:rsidR="001352A1" w:rsidRPr="001352A1" w:rsidRDefault="001352A1" w:rsidP="001352A1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352A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Pojistné na veřejné zdravotní pojištění</w:t>
      </w:r>
      <w:r w:rsidRPr="001352A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(platba státu za tzv. státní pojištěnce) ve výši 65,9 mld. Kč znamenalo meziroční růst o 3,2 mld. Kč, tj. o 5,1 %. Předpokládaný růst těchto výdajů proti skutečnosti roku 2018 o 7,3 % vychází zejména ze zvýšení měsíčních plateb za státního pojištěnce od 1.1.2019.</w:t>
      </w:r>
    </w:p>
    <w:p w:rsidR="001352A1" w:rsidRPr="001352A1" w:rsidRDefault="001352A1" w:rsidP="001352A1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352A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Kapitálové výdaje </w:t>
      </w:r>
      <w:r w:rsidRPr="001352A1">
        <w:rPr>
          <w:rFonts w:ascii="Times New Roman" w:eastAsia="Times New Roman" w:hAnsi="Times New Roman" w:cs="Times New Roman"/>
          <w:sz w:val="24"/>
          <w:szCs w:val="20"/>
          <w:lang w:eastAsia="cs-CZ"/>
        </w:rPr>
        <w:t>zatím dosáhly 118,3 mld. Kč, což bylo o 16,1 mld. Kč, tj. o 15,8 %, více než ve stejném období minulého roku. Velkou část (62,9 mld. Kč) tvořily investice realizované prostřednictvím společných programů EU a ČR s meziročním růstem o 4,0 mld. Kč, tj. o 6,8 %. Investice realizované výhradně z národních prostředků vzrostly ještě výrazněji, a to o 11,9 mld. Kč, tj. o 27,3 %. Na objemu i růstu investic se nejvíce podílely prostředky převedené Státnímu fondu dopravní infrastruktury a určené zejména na financování výstavby, modernizace a oprav silnic a dálnic a železničních drah.</w:t>
      </w:r>
    </w:p>
    <w:p w:rsidR="001352A1" w:rsidRPr="001352A1" w:rsidRDefault="001352A1" w:rsidP="001352A1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352A1">
        <w:rPr>
          <w:rFonts w:ascii="Times New Roman" w:eastAsia="Times New Roman" w:hAnsi="Times New Roman" w:cs="Times New Roman"/>
          <w:sz w:val="24"/>
          <w:szCs w:val="20"/>
          <w:lang w:eastAsia="cs-CZ"/>
        </w:rPr>
        <w:t>Schválený rozpočet je nad úrovní skutečného čerpání kapitálových výdajů roku 2018 o 5,8 mld. Kč, tj. o 5,0 %. Je tvořen prostředky ve výši 75,8 mld. Kč, které mají financovat národní investice a prostředky ve výši 46,5 mld. Kč, které mají financovat společné programy EU a ČR (vč. SZP a FM). Navíc nad rámec rozpočtu mohou organizační složky státu realizovat investiční výdaje i prostřednictvím tzv. nároků z nespotřebovaných výdajů z minulých let, jejichž stav na začátku roku 2019 byl 70,5 mld. Kč (na konci listopadu bylo z této částky realizováno 31,4 mld. Kč).</w:t>
      </w:r>
    </w:p>
    <w:p w:rsidR="001352A1" w:rsidRPr="001352A1" w:rsidRDefault="001352A1" w:rsidP="001352A1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1352A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Saldo státního rozpočtu</w:t>
      </w:r>
    </w:p>
    <w:p w:rsidR="001352A1" w:rsidRPr="001352A1" w:rsidRDefault="001352A1" w:rsidP="001352A1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352A1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Hospodaření </w:t>
      </w:r>
      <w:r w:rsidRPr="001352A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státního rozpočtu</w:t>
      </w:r>
      <w:r w:rsidRPr="001352A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skončilo na konci listopadu 2019 </w:t>
      </w:r>
      <w:r w:rsidRPr="001352A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schodkem ve výši 38,6 </w:t>
      </w:r>
      <w:r w:rsidRPr="001352A1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mld. Kč</w:t>
      </w:r>
      <w:r w:rsidRPr="001352A1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,</w:t>
      </w:r>
      <w:r w:rsidRPr="001352A1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</w:t>
      </w:r>
      <w:r w:rsidRPr="001352A1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což </w:t>
      </w:r>
      <w:r w:rsidRPr="001352A1">
        <w:rPr>
          <w:rFonts w:ascii="Times New Roman" w:eastAsia="Times New Roman" w:hAnsi="Times New Roman" w:cs="Times New Roman"/>
          <w:sz w:val="24"/>
          <w:szCs w:val="20"/>
          <w:lang w:eastAsia="cs-CZ"/>
        </w:rPr>
        <w:t>proti stejnému období roku 2018 znamenalo horší výsledek o 17,0 mld. Kč. Při očištění hospodaření státního rozpočtu o toky EU a FM prostředků jak na příjmové tak výdajové straně to představuje výsledek meziročně horší o 18,5 mld. Kč.</w:t>
      </w:r>
    </w:p>
    <w:p w:rsidR="001352A1" w:rsidRPr="001352A1" w:rsidRDefault="001352A1" w:rsidP="001352A1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352A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Hospodaření rozpočtu </w:t>
      </w:r>
      <w:r w:rsidRPr="001352A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v samotném listopadu</w:t>
      </w:r>
      <w:r w:rsidRPr="001352A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skončilo schodkem 19,1 mld. Kč (v listopadu 2018 schodkem ve výši 27,3 mld. Kč), když příjmy dosáhly 130,4 mld. Kč (v listopadu 2018 to bylo 116,9 mld. Kč) a výdaje byly čerpány ve výši 149,5 mld. Kč (v listopadu 2018 to bylo 144,2 mld. Kč). Na meziroční růst příjmů v samotném listopadu o 13,6 mld. Kč měly největší vliv příjmy z EU vyšší o 9,9 mld. Kč. Na růstu výdajů v samotném listopadu o 5,3 mld. Kč se nejvíce podílely sociální dávky vyšší o 3,7 mld. Kč a záloha na platy v regionálním školství vyšší o 2,6 mld. Kč.</w:t>
      </w:r>
    </w:p>
    <w:p w:rsidR="001352A1" w:rsidRPr="001352A1" w:rsidRDefault="001352A1" w:rsidP="001352A1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352A1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drawing>
          <wp:inline distT="0" distB="0" distL="0" distR="0" wp14:anchorId="0DF2F4AE" wp14:editId="3CA17D45">
            <wp:extent cx="6301105" cy="363652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36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2A1" w:rsidRPr="001352A1" w:rsidRDefault="001352A1" w:rsidP="001352A1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352A1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lastRenderedPageBreak/>
        <w:drawing>
          <wp:inline distT="0" distB="0" distL="0" distR="0" wp14:anchorId="1A4F938A" wp14:editId="79DBD5F1">
            <wp:extent cx="5972810" cy="2620645"/>
            <wp:effectExtent l="0" t="0" r="8890" b="8255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52A1" w:rsidRPr="001352A1" w:rsidRDefault="001352A1" w:rsidP="001352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352A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Podrobnější výsledky hospodaření státního rozpočtu za leden až listopad 2019 jsou patrny z tabulkové přílohy. </w:t>
      </w:r>
    </w:p>
    <w:p w:rsidR="00531708" w:rsidRPr="00531708" w:rsidRDefault="00531708" w:rsidP="00531708">
      <w:pPr>
        <w:pStyle w:val="xl27"/>
        <w:pBdr>
          <w:left w:val="none" w:sz="0" w:space="0" w:color="auto"/>
          <w:right w:val="none" w:sz="0" w:space="0" w:color="auto"/>
        </w:pBdr>
        <w:spacing w:before="0" w:after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5C23CE" w:rsidRPr="00531708" w:rsidRDefault="005C23CE" w:rsidP="00531708">
      <w:pPr>
        <w:pStyle w:val="xl27"/>
        <w:pBdr>
          <w:left w:val="none" w:sz="0" w:space="0" w:color="auto"/>
          <w:right w:val="none" w:sz="0" w:space="0" w:color="auto"/>
        </w:pBdr>
        <w:spacing w:before="0" w:after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5C23CE" w:rsidRPr="00531708" w:rsidRDefault="005C23CE" w:rsidP="00531708">
      <w:pPr>
        <w:spacing w:after="0"/>
        <w:jc w:val="both"/>
      </w:pPr>
      <w:r w:rsidRPr="00531708">
        <w:t>Ing. Michal Žurovec</w:t>
      </w:r>
    </w:p>
    <w:p w:rsidR="005C23CE" w:rsidRPr="00531708" w:rsidRDefault="005C23CE" w:rsidP="00531708">
      <w:pPr>
        <w:spacing w:after="0"/>
        <w:jc w:val="both"/>
      </w:pPr>
      <w:r w:rsidRPr="00531708">
        <w:t xml:space="preserve">ředitel odboru Vnější vztahy a komunikace </w:t>
      </w:r>
    </w:p>
    <w:p w:rsidR="005C23CE" w:rsidRPr="00531708" w:rsidRDefault="005C23CE" w:rsidP="00531708">
      <w:pPr>
        <w:spacing w:after="0"/>
        <w:jc w:val="both"/>
      </w:pPr>
      <w:r w:rsidRPr="00531708">
        <w:t>1. listopadu 2019</w:t>
      </w:r>
    </w:p>
    <w:p w:rsidR="001352A1" w:rsidRDefault="001352A1" w:rsidP="00531708">
      <w:pPr>
        <w:jc w:val="both"/>
      </w:pPr>
    </w:p>
    <w:p w:rsidR="001352A1" w:rsidRDefault="001352A1" w:rsidP="001352A1">
      <w:p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1352A1" w:rsidRDefault="001352A1" w:rsidP="001352A1">
      <w:p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1352A1" w:rsidRDefault="001352A1" w:rsidP="001352A1">
      <w:p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1352A1" w:rsidRDefault="001352A1" w:rsidP="001352A1">
      <w:p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1352A1" w:rsidRDefault="001352A1" w:rsidP="001352A1">
      <w:p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1352A1" w:rsidRDefault="001352A1" w:rsidP="001352A1">
      <w:p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1352A1" w:rsidRDefault="001352A1" w:rsidP="001352A1">
      <w:p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1352A1" w:rsidRDefault="001352A1" w:rsidP="001352A1">
      <w:p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1352A1" w:rsidRDefault="001352A1" w:rsidP="001352A1">
      <w:p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1352A1" w:rsidRDefault="001352A1" w:rsidP="001352A1">
      <w:p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1352A1" w:rsidRDefault="001352A1" w:rsidP="001352A1">
      <w:p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1352A1" w:rsidRDefault="001352A1" w:rsidP="001352A1">
      <w:p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1352A1" w:rsidRDefault="001352A1" w:rsidP="001352A1">
      <w:p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1352A1" w:rsidRDefault="001352A1" w:rsidP="001352A1">
      <w:p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1352A1" w:rsidRDefault="001352A1" w:rsidP="001352A1">
      <w:p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1352A1" w:rsidRDefault="001352A1" w:rsidP="001352A1">
      <w:p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1352A1" w:rsidRDefault="001352A1" w:rsidP="001352A1">
      <w:p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1352A1" w:rsidRDefault="001352A1" w:rsidP="001352A1">
      <w:p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1352A1" w:rsidRDefault="001352A1" w:rsidP="001352A1">
      <w:p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1352A1" w:rsidRDefault="001352A1" w:rsidP="001352A1">
      <w:p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1352A1" w:rsidRDefault="001352A1" w:rsidP="001352A1">
      <w:p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1352A1" w:rsidRDefault="001352A1" w:rsidP="001352A1">
      <w:p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1352A1" w:rsidRDefault="001352A1" w:rsidP="001352A1">
      <w:p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1352A1" w:rsidRPr="001352A1" w:rsidRDefault="001352A1" w:rsidP="001352A1">
      <w:p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1352A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lastRenderedPageBreak/>
        <w:t>Tabulková příloha:</w:t>
      </w:r>
    </w:p>
    <w:p w:rsidR="001352A1" w:rsidRPr="001352A1" w:rsidRDefault="001352A1" w:rsidP="001352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1352A1" w:rsidRPr="001352A1" w:rsidRDefault="001352A1" w:rsidP="001352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1352A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Tabulka č. 1: Plnění příjmů státního rozpočtu (v mld. Kč)</w:t>
      </w:r>
    </w:p>
    <w:p w:rsidR="001352A1" w:rsidRPr="001352A1" w:rsidRDefault="001352A1" w:rsidP="001352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1352A1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drawing>
          <wp:inline distT="0" distB="0" distL="0" distR="0" wp14:anchorId="70D91C4D" wp14:editId="541FA251">
            <wp:extent cx="6301105" cy="4999338"/>
            <wp:effectExtent l="0" t="0" r="444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4999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2A1" w:rsidRPr="001352A1" w:rsidRDefault="001352A1" w:rsidP="001352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352A1" w:rsidRPr="001352A1" w:rsidRDefault="001352A1" w:rsidP="001352A1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1352A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Tabulka č. 2: Meziroční srovnání celostátních daňových příjmů (v mld. Kč)</w:t>
      </w:r>
    </w:p>
    <w:p w:rsidR="001352A1" w:rsidRPr="001352A1" w:rsidRDefault="001352A1" w:rsidP="001352A1">
      <w:pPr>
        <w:keepNext/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352A1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drawing>
          <wp:inline distT="0" distB="0" distL="0" distR="0" wp14:anchorId="5CA2F04A" wp14:editId="71E9322D">
            <wp:extent cx="6301105" cy="2495934"/>
            <wp:effectExtent l="0" t="0" r="4445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2495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2A1" w:rsidRPr="001352A1" w:rsidRDefault="001352A1" w:rsidP="001352A1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4"/>
          <w:szCs w:val="14"/>
          <w:lang w:eastAsia="cs-CZ"/>
        </w:rPr>
      </w:pPr>
      <w:r w:rsidRPr="001352A1">
        <w:rPr>
          <w:rFonts w:ascii="Times New Roman" w:eastAsia="Times New Roman" w:hAnsi="Times New Roman" w:cs="Times New Roman"/>
          <w:i/>
          <w:sz w:val="14"/>
          <w:szCs w:val="14"/>
          <w:lang w:eastAsia="cs-CZ"/>
        </w:rPr>
        <w:t xml:space="preserve">*) v </w:t>
      </w:r>
      <w:proofErr w:type="spellStart"/>
      <w:r w:rsidRPr="001352A1">
        <w:rPr>
          <w:rFonts w:ascii="Times New Roman" w:eastAsia="Times New Roman" w:hAnsi="Times New Roman" w:cs="Times New Roman"/>
          <w:i/>
          <w:sz w:val="14"/>
          <w:szCs w:val="14"/>
          <w:lang w:eastAsia="cs-CZ"/>
        </w:rPr>
        <w:t>celost.daních</w:t>
      </w:r>
      <w:proofErr w:type="spellEnd"/>
      <w:r w:rsidRPr="001352A1">
        <w:rPr>
          <w:rFonts w:ascii="Times New Roman" w:eastAsia="Times New Roman" w:hAnsi="Times New Roman" w:cs="Times New Roman"/>
          <w:i/>
          <w:sz w:val="14"/>
          <w:szCs w:val="14"/>
          <w:lang w:eastAsia="cs-CZ"/>
        </w:rPr>
        <w:t xml:space="preserve"> v roce 2017 není </w:t>
      </w:r>
      <w:proofErr w:type="spellStart"/>
      <w:r w:rsidRPr="001352A1">
        <w:rPr>
          <w:rFonts w:ascii="Times New Roman" w:eastAsia="Times New Roman" w:hAnsi="Times New Roman" w:cs="Times New Roman"/>
          <w:i/>
          <w:sz w:val="14"/>
          <w:szCs w:val="14"/>
          <w:lang w:eastAsia="cs-CZ"/>
        </w:rPr>
        <w:t>zahrn.DPPO</w:t>
      </w:r>
      <w:proofErr w:type="spellEnd"/>
      <w:r w:rsidRPr="001352A1">
        <w:rPr>
          <w:rFonts w:ascii="Times New Roman" w:eastAsia="Times New Roman" w:hAnsi="Times New Roman" w:cs="Times New Roman"/>
          <w:i/>
          <w:sz w:val="14"/>
          <w:szCs w:val="14"/>
          <w:lang w:eastAsia="cs-CZ"/>
        </w:rPr>
        <w:t xml:space="preserve"> za obce a kraje (rozpočet 6,9 mld. Kč) a dále správní a místní poplatky obcím (7,9 mld. Kč), popl.za </w:t>
      </w:r>
      <w:proofErr w:type="spellStart"/>
      <w:r w:rsidRPr="001352A1">
        <w:rPr>
          <w:rFonts w:ascii="Times New Roman" w:eastAsia="Times New Roman" w:hAnsi="Times New Roman" w:cs="Times New Roman"/>
          <w:i/>
          <w:sz w:val="14"/>
          <w:szCs w:val="14"/>
          <w:lang w:eastAsia="cs-CZ"/>
        </w:rPr>
        <w:t>znečišť.ŽP</w:t>
      </w:r>
      <w:proofErr w:type="spellEnd"/>
      <w:r w:rsidRPr="001352A1">
        <w:rPr>
          <w:rFonts w:ascii="Times New Roman" w:eastAsia="Times New Roman" w:hAnsi="Times New Roman" w:cs="Times New Roman"/>
          <w:i/>
          <w:sz w:val="14"/>
          <w:szCs w:val="14"/>
          <w:lang w:eastAsia="cs-CZ"/>
        </w:rPr>
        <w:t xml:space="preserve"> (2,8 mld Kč) a daň z </w:t>
      </w:r>
      <w:proofErr w:type="spellStart"/>
      <w:r w:rsidRPr="001352A1">
        <w:rPr>
          <w:rFonts w:ascii="Times New Roman" w:eastAsia="Times New Roman" w:hAnsi="Times New Roman" w:cs="Times New Roman"/>
          <w:i/>
          <w:sz w:val="14"/>
          <w:szCs w:val="14"/>
          <w:lang w:eastAsia="cs-CZ"/>
        </w:rPr>
        <w:t>hazard.her</w:t>
      </w:r>
      <w:proofErr w:type="spellEnd"/>
      <w:r w:rsidRPr="001352A1">
        <w:rPr>
          <w:rFonts w:ascii="Times New Roman" w:eastAsia="Times New Roman" w:hAnsi="Times New Roman" w:cs="Times New Roman"/>
          <w:i/>
          <w:sz w:val="14"/>
          <w:szCs w:val="14"/>
          <w:lang w:eastAsia="cs-CZ"/>
        </w:rPr>
        <w:t xml:space="preserve"> také obcím (4,9 mld. Kč)-ve skut. je lze sledovat pouze v účetnictví</w:t>
      </w:r>
    </w:p>
    <w:p w:rsidR="001352A1" w:rsidRPr="001352A1" w:rsidRDefault="001352A1" w:rsidP="001352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4"/>
          <w:szCs w:val="14"/>
          <w:lang w:eastAsia="cs-CZ"/>
        </w:rPr>
      </w:pPr>
      <w:r w:rsidRPr="001352A1">
        <w:rPr>
          <w:rFonts w:ascii="Times New Roman" w:eastAsia="Times New Roman" w:hAnsi="Times New Roman" w:cs="Times New Roman"/>
          <w:i/>
          <w:sz w:val="14"/>
          <w:szCs w:val="14"/>
          <w:lang w:eastAsia="cs-CZ"/>
        </w:rPr>
        <w:t xml:space="preserve">**) v </w:t>
      </w:r>
      <w:proofErr w:type="spellStart"/>
      <w:r w:rsidRPr="001352A1">
        <w:rPr>
          <w:rFonts w:ascii="Times New Roman" w:eastAsia="Times New Roman" w:hAnsi="Times New Roman" w:cs="Times New Roman"/>
          <w:i/>
          <w:sz w:val="14"/>
          <w:szCs w:val="14"/>
          <w:lang w:eastAsia="cs-CZ"/>
        </w:rPr>
        <w:t>celost.daních</w:t>
      </w:r>
      <w:proofErr w:type="spellEnd"/>
      <w:r w:rsidRPr="001352A1">
        <w:rPr>
          <w:rFonts w:ascii="Times New Roman" w:eastAsia="Times New Roman" w:hAnsi="Times New Roman" w:cs="Times New Roman"/>
          <w:i/>
          <w:sz w:val="14"/>
          <w:szCs w:val="14"/>
          <w:lang w:eastAsia="cs-CZ"/>
        </w:rPr>
        <w:t xml:space="preserve"> v roce 2018 není </w:t>
      </w:r>
      <w:proofErr w:type="spellStart"/>
      <w:r w:rsidRPr="001352A1">
        <w:rPr>
          <w:rFonts w:ascii="Times New Roman" w:eastAsia="Times New Roman" w:hAnsi="Times New Roman" w:cs="Times New Roman"/>
          <w:i/>
          <w:sz w:val="14"/>
          <w:szCs w:val="14"/>
          <w:lang w:eastAsia="cs-CZ"/>
        </w:rPr>
        <w:t>zahrn.DPPO</w:t>
      </w:r>
      <w:proofErr w:type="spellEnd"/>
      <w:r w:rsidRPr="001352A1">
        <w:rPr>
          <w:rFonts w:ascii="Times New Roman" w:eastAsia="Times New Roman" w:hAnsi="Times New Roman" w:cs="Times New Roman"/>
          <w:i/>
          <w:sz w:val="14"/>
          <w:szCs w:val="14"/>
          <w:lang w:eastAsia="cs-CZ"/>
        </w:rPr>
        <w:t xml:space="preserve"> za obce a kraje (rozpočet 6,7 mld. Kč) a dále správní a místní poplatky obcím (8,1 mld. Kč), popl.za </w:t>
      </w:r>
      <w:proofErr w:type="spellStart"/>
      <w:r w:rsidRPr="001352A1">
        <w:rPr>
          <w:rFonts w:ascii="Times New Roman" w:eastAsia="Times New Roman" w:hAnsi="Times New Roman" w:cs="Times New Roman"/>
          <w:i/>
          <w:sz w:val="14"/>
          <w:szCs w:val="14"/>
          <w:lang w:eastAsia="cs-CZ"/>
        </w:rPr>
        <w:t>znečišť.ŽP</w:t>
      </w:r>
      <w:proofErr w:type="spellEnd"/>
      <w:r w:rsidRPr="001352A1">
        <w:rPr>
          <w:rFonts w:ascii="Times New Roman" w:eastAsia="Times New Roman" w:hAnsi="Times New Roman" w:cs="Times New Roman"/>
          <w:i/>
          <w:sz w:val="14"/>
          <w:szCs w:val="14"/>
          <w:lang w:eastAsia="cs-CZ"/>
        </w:rPr>
        <w:t xml:space="preserve"> obcím (2,8 mld Kč) a daň z </w:t>
      </w:r>
      <w:proofErr w:type="spellStart"/>
      <w:r w:rsidRPr="001352A1">
        <w:rPr>
          <w:rFonts w:ascii="Times New Roman" w:eastAsia="Times New Roman" w:hAnsi="Times New Roman" w:cs="Times New Roman"/>
          <w:i/>
          <w:sz w:val="14"/>
          <w:szCs w:val="14"/>
          <w:lang w:eastAsia="cs-CZ"/>
        </w:rPr>
        <w:t>hazard.her</w:t>
      </w:r>
      <w:proofErr w:type="spellEnd"/>
      <w:r w:rsidRPr="001352A1">
        <w:rPr>
          <w:rFonts w:ascii="Times New Roman" w:eastAsia="Times New Roman" w:hAnsi="Times New Roman" w:cs="Times New Roman"/>
          <w:i/>
          <w:sz w:val="14"/>
          <w:szCs w:val="14"/>
          <w:lang w:eastAsia="cs-CZ"/>
        </w:rPr>
        <w:t xml:space="preserve"> obcím (5,4 mld. Kč)-ve skut. je lze sledovat pouze v účetnictví</w:t>
      </w:r>
    </w:p>
    <w:p w:rsidR="001352A1" w:rsidRPr="001352A1" w:rsidRDefault="001352A1" w:rsidP="001352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4"/>
          <w:szCs w:val="14"/>
          <w:lang w:eastAsia="cs-CZ"/>
        </w:rPr>
      </w:pPr>
      <w:r w:rsidRPr="001352A1">
        <w:rPr>
          <w:rFonts w:ascii="Times New Roman" w:eastAsia="Times New Roman" w:hAnsi="Times New Roman" w:cs="Times New Roman"/>
          <w:i/>
          <w:sz w:val="14"/>
          <w:szCs w:val="14"/>
          <w:lang w:eastAsia="cs-CZ"/>
        </w:rPr>
        <w:t xml:space="preserve">***) v </w:t>
      </w:r>
      <w:proofErr w:type="spellStart"/>
      <w:r w:rsidRPr="001352A1">
        <w:rPr>
          <w:rFonts w:ascii="Times New Roman" w:eastAsia="Times New Roman" w:hAnsi="Times New Roman" w:cs="Times New Roman"/>
          <w:i/>
          <w:sz w:val="14"/>
          <w:szCs w:val="14"/>
          <w:lang w:eastAsia="cs-CZ"/>
        </w:rPr>
        <w:t>celost.daních</w:t>
      </w:r>
      <w:proofErr w:type="spellEnd"/>
      <w:r w:rsidRPr="001352A1">
        <w:rPr>
          <w:rFonts w:ascii="Times New Roman" w:eastAsia="Times New Roman" w:hAnsi="Times New Roman" w:cs="Times New Roman"/>
          <w:i/>
          <w:sz w:val="14"/>
          <w:szCs w:val="14"/>
          <w:lang w:eastAsia="cs-CZ"/>
        </w:rPr>
        <w:t xml:space="preserve"> v roce 2019 není </w:t>
      </w:r>
      <w:proofErr w:type="spellStart"/>
      <w:r w:rsidRPr="001352A1">
        <w:rPr>
          <w:rFonts w:ascii="Times New Roman" w:eastAsia="Times New Roman" w:hAnsi="Times New Roman" w:cs="Times New Roman"/>
          <w:i/>
          <w:sz w:val="14"/>
          <w:szCs w:val="14"/>
          <w:lang w:eastAsia="cs-CZ"/>
        </w:rPr>
        <w:t>zahrn.DPPO</w:t>
      </w:r>
      <w:proofErr w:type="spellEnd"/>
      <w:r w:rsidRPr="001352A1">
        <w:rPr>
          <w:rFonts w:ascii="Times New Roman" w:eastAsia="Times New Roman" w:hAnsi="Times New Roman" w:cs="Times New Roman"/>
          <w:i/>
          <w:sz w:val="14"/>
          <w:szCs w:val="14"/>
          <w:lang w:eastAsia="cs-CZ"/>
        </w:rPr>
        <w:t xml:space="preserve"> za obce a kraje (rozpočet 6,7 mld. Kč) a dále správní a místní poplatky obcím (8,9 mld. Kč), popl.za </w:t>
      </w:r>
      <w:proofErr w:type="spellStart"/>
      <w:r w:rsidRPr="001352A1">
        <w:rPr>
          <w:rFonts w:ascii="Times New Roman" w:eastAsia="Times New Roman" w:hAnsi="Times New Roman" w:cs="Times New Roman"/>
          <w:i/>
          <w:sz w:val="14"/>
          <w:szCs w:val="14"/>
          <w:lang w:eastAsia="cs-CZ"/>
        </w:rPr>
        <w:t>znečišť.ŽP</w:t>
      </w:r>
      <w:proofErr w:type="spellEnd"/>
      <w:r w:rsidRPr="001352A1">
        <w:rPr>
          <w:rFonts w:ascii="Times New Roman" w:eastAsia="Times New Roman" w:hAnsi="Times New Roman" w:cs="Times New Roman"/>
          <w:i/>
          <w:sz w:val="14"/>
          <w:szCs w:val="14"/>
          <w:lang w:eastAsia="cs-CZ"/>
        </w:rPr>
        <w:t xml:space="preserve"> obcím a krajům (3,2 mld Kč) a daň z </w:t>
      </w:r>
      <w:proofErr w:type="spellStart"/>
      <w:r w:rsidRPr="001352A1">
        <w:rPr>
          <w:rFonts w:ascii="Times New Roman" w:eastAsia="Times New Roman" w:hAnsi="Times New Roman" w:cs="Times New Roman"/>
          <w:i/>
          <w:sz w:val="14"/>
          <w:szCs w:val="14"/>
          <w:lang w:eastAsia="cs-CZ"/>
        </w:rPr>
        <w:t>hazard.her</w:t>
      </w:r>
      <w:proofErr w:type="spellEnd"/>
      <w:r w:rsidRPr="001352A1">
        <w:rPr>
          <w:rFonts w:ascii="Times New Roman" w:eastAsia="Times New Roman" w:hAnsi="Times New Roman" w:cs="Times New Roman"/>
          <w:i/>
          <w:sz w:val="14"/>
          <w:szCs w:val="14"/>
          <w:lang w:eastAsia="cs-CZ"/>
        </w:rPr>
        <w:t xml:space="preserve"> obcím (5,0 mld. Kč)-ve skut. je lze sledovat pouze v účetnictví</w:t>
      </w:r>
    </w:p>
    <w:p w:rsidR="001352A1" w:rsidRPr="001352A1" w:rsidRDefault="001352A1" w:rsidP="001352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4"/>
          <w:szCs w:val="14"/>
          <w:lang w:eastAsia="cs-CZ"/>
        </w:rPr>
      </w:pPr>
      <w:r w:rsidRPr="001352A1">
        <w:rPr>
          <w:rFonts w:ascii="Times New Roman" w:eastAsia="Times New Roman" w:hAnsi="Times New Roman" w:cs="Times New Roman"/>
          <w:i/>
          <w:sz w:val="14"/>
          <w:szCs w:val="14"/>
          <w:lang w:eastAsia="cs-CZ"/>
        </w:rPr>
        <w:t>****) údaj skutečnosti za uvedené roky odpovídá stavu inkasa za minulý měsíc (od roku 2012 nemá MF možnost sledovat každodenní pohyb inkasa z dálničních poplatků)</w:t>
      </w:r>
    </w:p>
    <w:p w:rsidR="001352A1" w:rsidRPr="001352A1" w:rsidRDefault="001352A1" w:rsidP="001352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4"/>
          <w:szCs w:val="14"/>
          <w:lang w:eastAsia="cs-CZ"/>
        </w:rPr>
      </w:pPr>
      <w:r w:rsidRPr="001352A1">
        <w:rPr>
          <w:rFonts w:ascii="Times New Roman" w:eastAsia="Times New Roman" w:hAnsi="Times New Roman" w:cs="Times New Roman"/>
          <w:i/>
          <w:sz w:val="14"/>
          <w:szCs w:val="14"/>
          <w:lang w:eastAsia="cs-CZ"/>
        </w:rPr>
        <w:lastRenderedPageBreak/>
        <w:t>*****) v souvislosti se zavedením nového způsobu přerozdělování dle PCG se jedná pouze o vybrané pojistné za období od 1.1.2019 do 31.10.2019. V roce 2018 se jedná o výběr od 1.1.2018 do 31.10.2018. V roce 2017 je údaj výběrem za období od 18.12.2016 do 17.10.2017. Nezahrnuje platbu za tzv. státní pojištěnce a nejedná se o příjem SR.</w:t>
      </w:r>
    </w:p>
    <w:p w:rsidR="001352A1" w:rsidRPr="001352A1" w:rsidRDefault="001352A1" w:rsidP="001352A1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1352A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Tabulka č. 3: Čerpání výdajů státního rozpočtu (v mld. Kč)</w:t>
      </w:r>
    </w:p>
    <w:p w:rsidR="001352A1" w:rsidRPr="001352A1" w:rsidRDefault="001352A1" w:rsidP="001352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352A1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drawing>
          <wp:inline distT="0" distB="0" distL="0" distR="0" wp14:anchorId="1A36ECC0" wp14:editId="482533BA">
            <wp:extent cx="6105525" cy="4709976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424" cy="4712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2A1" w:rsidRPr="00531708" w:rsidRDefault="001352A1" w:rsidP="00531708">
      <w:pPr>
        <w:jc w:val="both"/>
      </w:pPr>
    </w:p>
    <w:p w:rsidR="004E4E72" w:rsidRDefault="004E4E72" w:rsidP="006712A0">
      <w:pPr>
        <w:spacing w:line="240" w:lineRule="auto"/>
      </w:pPr>
    </w:p>
    <w:sectPr w:rsidR="004E4E72" w:rsidSect="007074BC">
      <w:pgSz w:w="11906" w:h="16838"/>
      <w:pgMar w:top="851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97F" w:rsidRDefault="00D8397F" w:rsidP="00531708">
      <w:pPr>
        <w:spacing w:after="0" w:line="240" w:lineRule="auto"/>
      </w:pPr>
      <w:r>
        <w:separator/>
      </w:r>
    </w:p>
  </w:endnote>
  <w:endnote w:type="continuationSeparator" w:id="0">
    <w:p w:rsidR="00D8397F" w:rsidRDefault="00D8397F" w:rsidP="00531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97F" w:rsidRDefault="00D8397F" w:rsidP="00531708">
      <w:pPr>
        <w:spacing w:after="0" w:line="240" w:lineRule="auto"/>
      </w:pPr>
      <w:r>
        <w:separator/>
      </w:r>
    </w:p>
  </w:footnote>
  <w:footnote w:type="continuationSeparator" w:id="0">
    <w:p w:rsidR="00D8397F" w:rsidRDefault="00D8397F" w:rsidP="005317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F3"/>
    <w:rsid w:val="00091D7F"/>
    <w:rsid w:val="00111E7F"/>
    <w:rsid w:val="001352A1"/>
    <w:rsid w:val="00252CC6"/>
    <w:rsid w:val="002B3762"/>
    <w:rsid w:val="0047315F"/>
    <w:rsid w:val="004E4E72"/>
    <w:rsid w:val="004E50FB"/>
    <w:rsid w:val="005023A6"/>
    <w:rsid w:val="00531708"/>
    <w:rsid w:val="00533436"/>
    <w:rsid w:val="00545066"/>
    <w:rsid w:val="00551116"/>
    <w:rsid w:val="00555A1E"/>
    <w:rsid w:val="0055759D"/>
    <w:rsid w:val="0059708A"/>
    <w:rsid w:val="00597B35"/>
    <w:rsid w:val="005C1A25"/>
    <w:rsid w:val="005C23CE"/>
    <w:rsid w:val="00631630"/>
    <w:rsid w:val="00641D37"/>
    <w:rsid w:val="006712A0"/>
    <w:rsid w:val="00674535"/>
    <w:rsid w:val="006F47FB"/>
    <w:rsid w:val="007074BC"/>
    <w:rsid w:val="007B3CB0"/>
    <w:rsid w:val="008459CA"/>
    <w:rsid w:val="008547F7"/>
    <w:rsid w:val="008B7A7E"/>
    <w:rsid w:val="008E4553"/>
    <w:rsid w:val="009E14BD"/>
    <w:rsid w:val="00A33EDB"/>
    <w:rsid w:val="00A93165"/>
    <w:rsid w:val="00B8330B"/>
    <w:rsid w:val="00B91DF3"/>
    <w:rsid w:val="00C666D4"/>
    <w:rsid w:val="00C956C1"/>
    <w:rsid w:val="00CA7074"/>
    <w:rsid w:val="00CC41E4"/>
    <w:rsid w:val="00CF57F8"/>
    <w:rsid w:val="00D80AB2"/>
    <w:rsid w:val="00D83531"/>
    <w:rsid w:val="00D8397F"/>
    <w:rsid w:val="00DE1AF0"/>
    <w:rsid w:val="00E334BB"/>
    <w:rsid w:val="00EA625B"/>
    <w:rsid w:val="00EB0A69"/>
    <w:rsid w:val="00EF0A21"/>
    <w:rsid w:val="00F4357F"/>
    <w:rsid w:val="00F53C30"/>
    <w:rsid w:val="00F6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77350-2279-454E-B4AC-C39DBDA5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1E4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6712A0"/>
    <w:pPr>
      <w:overflowPunct w:val="0"/>
      <w:autoSpaceDE w:val="0"/>
      <w:autoSpaceDN w:val="0"/>
      <w:adjustRightInd w:val="0"/>
      <w:spacing w:before="120" w:after="0" w:line="36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xl27">
    <w:name w:val="xl27"/>
    <w:basedOn w:val="Normln"/>
    <w:rsid w:val="006712A0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ramen">
    <w:name w:val="pramen"/>
    <w:basedOn w:val="Normln"/>
    <w:qFormat/>
    <w:rsid w:val="006712A0"/>
    <w:pPr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31708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3170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5317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8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emf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image" Target="media/image5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12444\Documents\Pokladni%20plneni\Pokl%20pln&#283;n&#237;%202019\11%20listopad%202019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12444\Documents\Pokladni%20plneni\Pokl%20pln&#283;n&#237;%202019\11%20listopad%202019.xls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/>
            </a:pPr>
            <a:r>
              <a:rPr lang="cs-CZ" sz="900"/>
              <a:t>Saldo státního rozpočtu na konci listopadu v letech 2013-2019  (v mld. Kč)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5.6226562839866011E-2"/>
          <c:y val="0.15476851851851853"/>
          <c:w val="0.92351561027247286"/>
          <c:h val="0.64611548556430443"/>
        </c:manualLayout>
      </c:layout>
      <c:lineChart>
        <c:grouping val="standard"/>
        <c:varyColors val="0"/>
        <c:ser>
          <c:idx val="0"/>
          <c:order val="0"/>
          <c:tx>
            <c:strRef>
              <c:f>'saldo graf'!$B$9</c:f>
              <c:strCache>
                <c:ptCount val="1"/>
                <c:pt idx="0">
                  <c:v>Saldo SR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-5.5284517690381701E-2"/>
                  <c:y val="4.1175547019252148E-2"/>
                </c:manualLayout>
              </c:layout>
              <c:numFmt formatCode="#,##0.0" sourceLinked="0"/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287-427A-86D8-A38E32EFD6A6}"/>
                </c:ext>
              </c:extLst>
            </c:dLbl>
            <c:dLbl>
              <c:idx val="1"/>
              <c:layout>
                <c:manualLayout>
                  <c:x val="-3.0221853357789975E-2"/>
                  <c:y val="5.2714831025950155E-2"/>
                </c:manualLayout>
              </c:layout>
              <c:numFmt formatCode="#,##0.0" sourceLinked="0"/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287-427A-86D8-A38E32EFD6A6}"/>
                </c:ext>
              </c:extLst>
            </c:dLbl>
            <c:dLbl>
              <c:idx val="2"/>
              <c:layout>
                <c:manualLayout>
                  <c:x val="-4.3632648221895207E-2"/>
                  <c:y val="-5.722682072744556E-2"/>
                </c:manualLayout>
              </c:layout>
              <c:numFmt formatCode="#,##0.0" sourceLinked="0"/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287-427A-86D8-A38E32EFD6A6}"/>
                </c:ext>
              </c:extLst>
            </c:dLbl>
            <c:dLbl>
              <c:idx val="3"/>
              <c:layout>
                <c:manualLayout>
                  <c:x val="-3.002450660518264E-2"/>
                  <c:y val="-5.5555555555555552E-2"/>
                </c:manualLayout>
              </c:layout>
              <c:numFmt formatCode="#,##0.0" sourceLinked="0"/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287-427A-86D8-A38E32EFD6A6}"/>
                </c:ext>
              </c:extLst>
            </c:dLbl>
            <c:dLbl>
              <c:idx val="4"/>
              <c:layout>
                <c:manualLayout>
                  <c:x val="-2.1309870796537175E-2"/>
                  <c:y val="-6.9444444444444448E-2"/>
                </c:manualLayout>
              </c:layout>
              <c:numFmt formatCode="#,##0.0" sourceLinked="0"/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287-427A-86D8-A38E32EFD6A6}"/>
                </c:ext>
              </c:extLst>
            </c:dLbl>
            <c:dLbl>
              <c:idx val="5"/>
              <c:layout>
                <c:manualLayout>
                  <c:x val="-3.3962185196292446E-2"/>
                  <c:y val="4.8203196543294427E-2"/>
                </c:manualLayout>
              </c:layout>
              <c:numFmt formatCode="#,##0.0" sourceLinked="0"/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287-427A-86D8-A38E32EFD6A6}"/>
                </c:ext>
              </c:extLst>
            </c:dLbl>
            <c:dLbl>
              <c:idx val="6"/>
              <c:layout>
                <c:manualLayout>
                  <c:x val="-1.6643103516414348E-2"/>
                  <c:y val="5.3566928217510829E-2"/>
                </c:manualLayout>
              </c:layout>
              <c:numFmt formatCode="#,##0.0" sourceLinked="0"/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287-427A-86D8-A38E32EFD6A6}"/>
                </c:ext>
              </c:extLst>
            </c:dLbl>
            <c:numFmt formatCode="#,##0.0" sourceLinked="0"/>
            <c:spPr>
              <a:solidFill>
                <a:schemeClr val="bg1"/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'saldo graf'!$D$2:$J$2</c:f>
              <c:numCache>
                <c:formatCode>General</c:formatCode>
                <c:ptCount val="7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</c:numCache>
            </c:numRef>
          </c:cat>
          <c:val>
            <c:numRef>
              <c:f>'saldo graf'!$D$13:$J$13</c:f>
              <c:numCache>
                <c:formatCode>#,##0.0</c:formatCode>
                <c:ptCount val="7"/>
                <c:pt idx="0">
                  <c:v>-79.368196044871098</c:v>
                </c:pt>
                <c:pt idx="1">
                  <c:v>-68.847259966359985</c:v>
                </c:pt>
                <c:pt idx="2">
                  <c:v>-29.504119261099852</c:v>
                </c:pt>
                <c:pt idx="3">
                  <c:v>55.451415565729</c:v>
                </c:pt>
                <c:pt idx="4">
                  <c:v>-11.618106158870361</c:v>
                </c:pt>
                <c:pt idx="5">
                  <c:v>-21.638604532849509</c:v>
                </c:pt>
                <c:pt idx="6">
                  <c:v>-38.625331989190954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B287-427A-86D8-A38E32EFD6A6}"/>
            </c:ext>
          </c:extLst>
        </c:ser>
        <c:ser>
          <c:idx val="1"/>
          <c:order val="1"/>
          <c:tx>
            <c:strRef>
              <c:f>'saldo graf'!$B$21</c:f>
              <c:strCache>
                <c:ptCount val="1"/>
                <c:pt idx="0">
                  <c:v>Saldo SR bez vlivu EU/FM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5.3132100737186418E-2"/>
                  <c:y val="-3.6381868777898001E-2"/>
                </c:manualLayout>
              </c:layout>
              <c:numFmt formatCode="#,##0.0" sourceLinked="0"/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287-427A-86D8-A38E32EFD6A6}"/>
                </c:ext>
              </c:extLst>
            </c:dLbl>
            <c:dLbl>
              <c:idx val="1"/>
              <c:layout>
                <c:manualLayout>
                  <c:x val="-3.4899674298905725E-2"/>
                  <c:y val="-6.3909907977007394E-2"/>
                </c:manualLayout>
              </c:layout>
              <c:numFmt formatCode="#,##0.0" sourceLinked="0"/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287-427A-86D8-A38E32EFD6A6}"/>
                </c:ext>
              </c:extLst>
            </c:dLbl>
            <c:dLbl>
              <c:idx val="2"/>
              <c:layout>
                <c:manualLayout>
                  <c:x val="-3.2801517613664101E-2"/>
                  <c:y val="6.1403483844291951E-2"/>
                </c:manualLayout>
              </c:layout>
              <c:numFmt formatCode="#,##0.0" sourceLinked="0"/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287-427A-86D8-A38E32EFD6A6}"/>
                </c:ext>
              </c:extLst>
            </c:dLbl>
            <c:dLbl>
              <c:idx val="3"/>
              <c:layout>
                <c:manualLayout>
                  <c:x val="-2.2041939852694981E-2"/>
                  <c:y val="5.7142857142857141E-2"/>
                </c:manualLayout>
              </c:layout>
              <c:numFmt formatCode="#,##0.0" sourceLinked="0"/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287-427A-86D8-A38E32EFD6A6}"/>
                </c:ext>
              </c:extLst>
            </c:dLbl>
            <c:dLbl>
              <c:idx val="4"/>
              <c:layout>
                <c:manualLayout>
                  <c:x val="-3.1226081457984649E-2"/>
                  <c:y val="5.7142857142857141E-2"/>
                </c:manualLayout>
              </c:layout>
              <c:numFmt formatCode="#,##0.0" sourceLinked="0"/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B287-427A-86D8-A38E32EFD6A6}"/>
                </c:ext>
              </c:extLst>
            </c:dLbl>
            <c:dLbl>
              <c:idx val="5"/>
              <c:layout>
                <c:manualLayout>
                  <c:x val="-2.9519957038142596E-2"/>
                  <c:y val="-5.1127713250302111E-2"/>
                </c:manualLayout>
              </c:layout>
              <c:numFmt formatCode="#,##0.0" sourceLinked="0"/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287-427A-86D8-A38E32EFD6A6}"/>
                </c:ext>
              </c:extLst>
            </c:dLbl>
            <c:dLbl>
              <c:idx val="6"/>
              <c:layout>
                <c:manualLayout>
                  <c:x val="-2.0240462405068292E-2"/>
                  <c:y val="-5.0260227804337053E-2"/>
                </c:manualLayout>
              </c:layout>
              <c:numFmt formatCode="#,##0.0" sourceLinked="0"/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B287-427A-86D8-A38E32EFD6A6}"/>
                </c:ext>
              </c:extLst>
            </c:dLbl>
            <c:numFmt formatCode="#,##0.0" sourceLinked="0"/>
            <c:spPr>
              <a:solidFill>
                <a:schemeClr val="bg1"/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'saldo graf'!$D$2:$J$2</c:f>
              <c:numCache>
                <c:formatCode>General</c:formatCode>
                <c:ptCount val="7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</c:numCache>
            </c:numRef>
          </c:cat>
          <c:val>
            <c:numRef>
              <c:f>'saldo graf'!$D$25:$J$25</c:f>
              <c:numCache>
                <c:formatCode>#,##0.0</c:formatCode>
                <c:ptCount val="7"/>
                <c:pt idx="0">
                  <c:v>-75.479814985871073</c:v>
                </c:pt>
                <c:pt idx="1">
                  <c:v>-53.445996089360023</c:v>
                </c:pt>
                <c:pt idx="2">
                  <c:v>-31.247580356099832</c:v>
                </c:pt>
                <c:pt idx="3">
                  <c:v>-14.68349258527104</c:v>
                </c:pt>
                <c:pt idx="4">
                  <c:v>-12.954145556870358</c:v>
                </c:pt>
                <c:pt idx="5">
                  <c:v>-17.340493416849512</c:v>
                </c:pt>
                <c:pt idx="6">
                  <c:v>-35.838524150830949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B287-427A-86D8-A38E32EFD6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1214720"/>
        <c:axId val="186876672"/>
      </c:lineChart>
      <c:catAx>
        <c:axId val="151214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crossAx val="186876672"/>
        <c:crosses val="autoZero"/>
        <c:auto val="1"/>
        <c:lblAlgn val="ctr"/>
        <c:lblOffset val="100"/>
        <c:noMultiLvlLbl val="0"/>
      </c:catAx>
      <c:valAx>
        <c:axId val="186876672"/>
        <c:scaling>
          <c:orientation val="minMax"/>
        </c:scaling>
        <c:delete val="0"/>
        <c:axPos val="l"/>
        <c:majorGridlines>
          <c:spPr>
            <a:ln>
              <a:solidFill>
                <a:schemeClr val="accent1">
                  <a:alpha val="43000"/>
                </a:schemeClr>
              </a:solidFill>
            </a:ln>
          </c:spPr>
        </c:majorGridlines>
        <c:numFmt formatCode="#,##0.0" sourceLinked="1"/>
        <c:majorTickMark val="none"/>
        <c:minorTickMark val="none"/>
        <c:tickLblPos val="nextTo"/>
        <c:spPr>
          <a:ln w="9525">
            <a:noFill/>
          </a:ln>
        </c:spPr>
        <c:crossAx val="15121472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3668227471566056"/>
          <c:y val="0.89776419394944051"/>
          <c:w val="0.45184349956255471"/>
          <c:h val="7.6675300455864015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/>
      </a:pPr>
      <a:endParaRPr lang="cs-CZ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cs-CZ"/>
              <a:t>Vývoj salda státního rozpočtu za leden až listopad v roce 2018 a 2019 (v mld. Kč)</a:t>
            </a:r>
          </a:p>
        </c:rich>
      </c:tx>
      <c:layout>
        <c:manualLayout>
          <c:xMode val="edge"/>
          <c:yMode val="edge"/>
          <c:x val="0.17690141707782442"/>
          <c:y val="5.321298933378008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1580502215657306E-2"/>
          <c:y val="0.18674698795180722"/>
          <c:w val="0.88626292466765144"/>
          <c:h val="0.608433734939759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'tab. salda SR'!$B$17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5.116350470456511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F11-4536-BEF0-9FCB644869E8}"/>
                </c:ext>
              </c:extLst>
            </c:dLbl>
            <c:dLbl>
              <c:idx val="4"/>
              <c:layout>
                <c:manualLayout>
                  <c:x val="-1.0990198219938492E-2"/>
                  <c:y val="-3.545820070363545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F11-4536-BEF0-9FCB644869E8}"/>
                </c:ext>
              </c:extLst>
            </c:dLbl>
            <c:dLbl>
              <c:idx val="5"/>
              <c:layout>
                <c:manualLayout>
                  <c:x val="-5.7061340941512127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F11-4536-BEF0-9FCB644869E8}"/>
                </c:ext>
              </c:extLst>
            </c:dLbl>
            <c:dLbl>
              <c:idx val="6"/>
              <c:layout>
                <c:manualLayout>
                  <c:x val="-7.0453544693967413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F11-4536-BEF0-9FCB644869E8}"/>
                </c:ext>
              </c:extLst>
            </c:dLbl>
            <c:dLbl>
              <c:idx val="7"/>
              <c:layout>
                <c:manualLayout>
                  <c:x val="0"/>
                  <c:y val="4.016380482560161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F11-4536-BEF0-9FCB644869E8}"/>
                </c:ext>
              </c:extLst>
            </c:dLbl>
            <c:dLbl>
              <c:idx val="9"/>
              <c:layout>
                <c:manualLayout>
                  <c:x val="-3.1225604996096799E-3"/>
                  <c:y val="-4.016064257028039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F11-4536-BEF0-9FCB644869E8}"/>
                </c:ext>
              </c:extLst>
            </c:dLbl>
            <c:dLbl>
              <c:idx val="10"/>
              <c:layout>
                <c:manualLayout>
                  <c:x val="-1.1068213906167213E-2"/>
                  <c:y val="3.546936952029932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F11-4536-BEF0-9FCB644869E8}"/>
                </c:ext>
              </c:extLst>
            </c:dLbl>
            <c:numFmt formatCode="#,##0.0" sourceLinked="0"/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'tab. salda SR'!$A$18:$A$28</c:f>
              <c:strCache>
                <c:ptCount val="11"/>
                <c:pt idx="0">
                  <c:v>leden</c:v>
                </c:pt>
                <c:pt idx="1">
                  <c:v>leden-únor</c:v>
                </c:pt>
                <c:pt idx="2">
                  <c:v>leden-březen</c:v>
                </c:pt>
                <c:pt idx="3">
                  <c:v>leden-duben</c:v>
                </c:pt>
                <c:pt idx="4">
                  <c:v>leden-květen</c:v>
                </c:pt>
                <c:pt idx="5">
                  <c:v>leden-červen</c:v>
                </c:pt>
                <c:pt idx="6">
                  <c:v>leden-červenec</c:v>
                </c:pt>
                <c:pt idx="7">
                  <c:v>leden-srpen</c:v>
                </c:pt>
                <c:pt idx="8">
                  <c:v>leden-září</c:v>
                </c:pt>
                <c:pt idx="9">
                  <c:v>leden-říjen</c:v>
                </c:pt>
                <c:pt idx="10">
                  <c:v>leden-listopad</c:v>
                </c:pt>
              </c:strCache>
            </c:strRef>
          </c:cat>
          <c:val>
            <c:numRef>
              <c:f>'tab. salda SR'!$B$18:$B$28</c:f>
              <c:numCache>
                <c:formatCode>0.00</c:formatCode>
                <c:ptCount val="11"/>
                <c:pt idx="0">
                  <c:v>26.453480388990016</c:v>
                </c:pt>
                <c:pt idx="1">
                  <c:v>25.750030625240186</c:v>
                </c:pt>
                <c:pt idx="2">
                  <c:v>16.25932449730999</c:v>
                </c:pt>
                <c:pt idx="3">
                  <c:v>0.77475632557991503</c:v>
                </c:pt>
                <c:pt idx="4">
                  <c:v>-23.09443913284008</c:v>
                </c:pt>
                <c:pt idx="5">
                  <c:v>-5.8789542447509575</c:v>
                </c:pt>
                <c:pt idx="6">
                  <c:v>16.584209760340059</c:v>
                </c:pt>
                <c:pt idx="7">
                  <c:v>14.772652513179992</c:v>
                </c:pt>
                <c:pt idx="8">
                  <c:v>16.774581262579886</c:v>
                </c:pt>
                <c:pt idx="9">
                  <c:v>5.6708643410397599</c:v>
                </c:pt>
                <c:pt idx="10">
                  <c:v>-21.638604532849513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F11-4536-BEF0-9FCB644869E8}"/>
            </c:ext>
          </c:extLst>
        </c:ser>
        <c:ser>
          <c:idx val="1"/>
          <c:order val="1"/>
          <c:tx>
            <c:strRef>
              <c:f>'tab. salda SR'!$C$17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3.5226772346983706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F11-4536-BEF0-9FCB644869E8}"/>
                </c:ext>
              </c:extLst>
            </c:dLbl>
            <c:dLbl>
              <c:idx val="3"/>
              <c:layout>
                <c:manualLayout>
                  <c:x val="7.0801806967734715E-3"/>
                  <c:y val="4.016064257028112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F11-4536-BEF0-9FCB644869E8}"/>
                </c:ext>
              </c:extLst>
            </c:dLbl>
            <c:dLbl>
              <c:idx val="4"/>
              <c:layout>
                <c:manualLayout>
                  <c:x val="3.9968399099898529E-3"/>
                  <c:y val="9.412520243480203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F11-4536-BEF0-9FCB644869E8}"/>
                </c:ext>
              </c:extLst>
            </c:dLbl>
            <c:dLbl>
              <c:idx val="5"/>
              <c:layout>
                <c:manualLayout>
                  <c:x val="2.7242671698847915E-4"/>
                  <c:y val="-2.604288825598927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F11-4536-BEF0-9FCB644869E8}"/>
                </c:ext>
              </c:extLst>
            </c:dLbl>
            <c:dLbl>
              <c:idx val="6"/>
              <c:layout>
                <c:manualLayout>
                  <c:x val="7.6436689545262239E-3"/>
                  <c:y val="8.03244473958827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4F11-4536-BEF0-9FCB644869E8}"/>
                </c:ext>
              </c:extLst>
            </c:dLbl>
            <c:dLbl>
              <c:idx val="7"/>
              <c:layout>
                <c:manualLayout>
                  <c:x val="7.8247391777977616E-3"/>
                  <c:y val="4.017012933624260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F11-4536-BEF0-9FCB644869E8}"/>
                </c:ext>
              </c:extLst>
            </c:dLbl>
            <c:dLbl>
              <c:idx val="8"/>
              <c:layout>
                <c:manualLayout>
                  <c:x val="1.0651619029051904E-2"/>
                  <c:y val="-4.015748031496063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4F11-4536-BEF0-9FCB644869E8}"/>
                </c:ext>
              </c:extLst>
            </c:dLbl>
            <c:dLbl>
              <c:idx val="9"/>
              <c:layout>
                <c:manualLayout>
                  <c:x val="5.2554690873675799E-5"/>
                  <c:y val="4.017702574412240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4F11-4536-BEF0-9FCB644869E8}"/>
                </c:ext>
              </c:extLst>
            </c:dLbl>
            <c:dLbl>
              <c:idx val="10"/>
              <c:layout>
                <c:manualLayout>
                  <c:x val="3.9025908534534413E-4"/>
                  <c:y val="1.418495560395376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4F11-4536-BEF0-9FCB644869E8}"/>
                </c:ext>
              </c:extLst>
            </c:dLbl>
            <c:numFmt formatCode="#,##0.0" sourceLinked="0"/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'tab. salda SR'!$A$18:$A$28</c:f>
              <c:strCache>
                <c:ptCount val="11"/>
                <c:pt idx="0">
                  <c:v>leden</c:v>
                </c:pt>
                <c:pt idx="1">
                  <c:v>leden-únor</c:v>
                </c:pt>
                <c:pt idx="2">
                  <c:v>leden-březen</c:v>
                </c:pt>
                <c:pt idx="3">
                  <c:v>leden-duben</c:v>
                </c:pt>
                <c:pt idx="4">
                  <c:v>leden-květen</c:v>
                </c:pt>
                <c:pt idx="5">
                  <c:v>leden-červen</c:v>
                </c:pt>
                <c:pt idx="6">
                  <c:v>leden-červenec</c:v>
                </c:pt>
                <c:pt idx="7">
                  <c:v>leden-srpen</c:v>
                </c:pt>
                <c:pt idx="8">
                  <c:v>leden-září</c:v>
                </c:pt>
                <c:pt idx="9">
                  <c:v>leden-říjen</c:v>
                </c:pt>
                <c:pt idx="10">
                  <c:v>leden-listopad</c:v>
                </c:pt>
              </c:strCache>
            </c:strRef>
          </c:cat>
          <c:val>
            <c:numRef>
              <c:f>'tab. salda SR'!$C$18:$C$28</c:f>
              <c:numCache>
                <c:formatCode>0.00</c:formatCode>
                <c:ptCount val="11"/>
                <c:pt idx="0">
                  <c:v>8.7720437151099873</c:v>
                </c:pt>
                <c:pt idx="1">
                  <c:v>-19.905118727509972</c:v>
                </c:pt>
                <c:pt idx="2">
                  <c:v>-9.2423153074099673</c:v>
                </c:pt>
                <c:pt idx="3">
                  <c:v>-29.683749072660021</c:v>
                </c:pt>
                <c:pt idx="4">
                  <c:v>-50.902012544239938</c:v>
                </c:pt>
                <c:pt idx="5">
                  <c:v>-20.683383367440229</c:v>
                </c:pt>
                <c:pt idx="6">
                  <c:v>-9.676692496960186</c:v>
                </c:pt>
                <c:pt idx="7">
                  <c:v>-15.382486740709965</c:v>
                </c:pt>
                <c:pt idx="8">
                  <c:v>-20.985220844569994</c:v>
                </c:pt>
                <c:pt idx="9">
                  <c:v>-19.566194652300737</c:v>
                </c:pt>
                <c:pt idx="10">
                  <c:v>-38.625331989190954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4F11-4536-BEF0-9FCB644869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8943744"/>
        <c:axId val="38315136"/>
      </c:barChart>
      <c:catAx>
        <c:axId val="188943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ln w="3175">
            <a:solidFill>
              <a:srgbClr val="848484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cs-CZ"/>
          </a:p>
        </c:txPr>
        <c:crossAx val="38315136"/>
        <c:crosses val="autoZero"/>
        <c:auto val="1"/>
        <c:lblAlgn val="ctr"/>
        <c:lblOffset val="100"/>
        <c:noMultiLvlLbl val="0"/>
      </c:catAx>
      <c:valAx>
        <c:axId val="38315136"/>
        <c:scaling>
          <c:orientation val="minMax"/>
        </c:scaling>
        <c:delete val="0"/>
        <c:axPos val="l"/>
        <c:majorGridlines>
          <c:spPr>
            <a:ln w="3175">
              <a:solidFill>
                <a:srgbClr val="8080FF">
                  <a:alpha val="39000"/>
                </a:srgbClr>
              </a:solidFill>
              <a:prstDash val="solid"/>
            </a:ln>
          </c:spPr>
        </c:majorGridlines>
        <c:numFmt formatCode="0.00" sourceLinked="1"/>
        <c:majorTickMark val="none"/>
        <c:minorTickMark val="none"/>
        <c:tickLblPos val="nextTo"/>
        <c:spPr>
          <a:ln w="3175">
            <a:solidFill>
              <a:srgbClr val="848484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cs-CZ"/>
          </a:p>
        </c:txPr>
        <c:crossAx val="1889437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4100974834388409"/>
          <c:y val="0.88253001619478411"/>
          <c:w val="0.34572080473604749"/>
          <c:h val="8.6345283967163677E-2"/>
        </c:manualLayout>
      </c:layout>
      <c:overlay val="0"/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cs-CZ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2630</Words>
  <Characters>15517</Characters>
  <Application>Microsoft Office Word</Application>
  <DocSecurity>4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18111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Polanský Pavel Mgr.</dc:creator>
  <cp:lastModifiedBy>Michaela Mottlová</cp:lastModifiedBy>
  <cp:revision>2</cp:revision>
  <cp:lastPrinted>2016-08-31T12:06:00Z</cp:lastPrinted>
  <dcterms:created xsi:type="dcterms:W3CDTF">2019-12-05T13:04:00Z</dcterms:created>
  <dcterms:modified xsi:type="dcterms:W3CDTF">2019-12-05T13:04:00Z</dcterms:modified>
</cp:coreProperties>
</file>